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Dickman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541,735</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0.53</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541,729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52"/>
        <w:gridCol w:w="44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5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4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 as to one-fourth of the underlying shares beginning on September 1, 2024 and thereafter in 48 equal monthly installments, subject to Mr. Dickman's continued service through the applicable vesting date and a liquidity event vesting condition. The liquidity event vesting condition was deemed met upon the Merger described in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received as part of the Issuer's business combination, in connection with that certain Agreement and Plan of Merger, dated as of July 24, 2024 (the "Merger Agreement"), by and among the Issuer (formerly FTAC Emerald Acquisition Corp.), FTAC EMLD Merger Sub Inc. and Fold, Inc. ("Legacy Fold"), pursuant to which each outstanding Legacy Fold RSU Award was automatically converted into an award of restricted stock units covering a number of shares of the Issuer's Common Stock based on the exchange ratio described in the Issuer's Registration Statement on Form S-4, as amended (Reg. No. 333-282520).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reported on this Form 4 represents shares sold by Mr. Dickman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Mr. Dickman.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that Form 4 filed by the Reporting Person on February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497"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4560</Characters>
  <CharactersWithSpaces>5318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