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As filed with the Securities and Exchange Commission on June 4, 2026</w:t>
      </w:r>
    </w:p>
    <w:p>
      <w:pPr>
        <w:spacing w:after="0" w:line="31" w:lineRule="exact"/>
        <w:rPr>
          <w:sz w:val="24"/>
          <w:szCs w:val="24"/>
          <w:color w:val="auto"/>
        </w:rPr>
      </w:pPr>
    </w:p>
    <w:p>
      <w:pPr>
        <w:ind w:left="94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rPr>
              <w:t>Fold Holdings, Inc.</w:t>
            </w:r>
          </w:p>
        </w:tc>
        <w:tc>
          <w:tcPr>
            <w:tcW w:w="3580" w:type="dxa"/>
            <w:vAlign w:val="bottom"/>
          </w:tcPr>
          <w:p>
            <w:pPr>
              <w:spacing w:after="0"/>
              <w:rPr>
                <w:sz w:val="19"/>
                <w:szCs w:val="19"/>
                <w:color w:val="auto"/>
              </w:rPr>
            </w:pPr>
          </w:p>
        </w:tc>
      </w:tr>
      <w:tr>
        <w:trPr>
          <w:trHeight w:val="216"/>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80" w:type="dxa"/>
            <w:vAlign w:val="bottom"/>
          </w:tcPr>
          <w:p>
            <w:pPr>
              <w:spacing w:after="0"/>
              <w:rPr>
                <w:sz w:val="18"/>
                <w:szCs w:val="18"/>
                <w:color w:val="auto"/>
              </w:rPr>
            </w:pPr>
          </w:p>
        </w:tc>
      </w:tr>
      <w:tr>
        <w:trPr>
          <w:trHeight w:val="212"/>
        </w:trPr>
        <w:tc>
          <w:tcPr>
            <w:tcW w:w="5520" w:type="dxa"/>
            <w:vAlign w:val="bottom"/>
          </w:tcPr>
          <w:p>
            <w:pPr>
              <w:spacing w:after="0"/>
              <w:rPr>
                <w:sz w:val="18"/>
                <w:szCs w:val="18"/>
                <w:color w:val="auto"/>
              </w:rPr>
            </w:pPr>
          </w:p>
        </w:tc>
        <w:tc>
          <w:tcPr>
            <w:tcW w:w="214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color w:val="auto"/>
              </w:rPr>
              <w:t> </w:t>
            </w:r>
          </w:p>
        </w:tc>
        <w:tc>
          <w:tcPr>
            <w:tcW w:w="3580" w:type="dxa"/>
            <w:vAlign w:val="bottom"/>
          </w:tcPr>
          <w:p>
            <w:pPr>
              <w:spacing w:after="0"/>
              <w:rPr>
                <w:sz w:val="18"/>
                <w:szCs w:val="18"/>
                <w:color w:val="auto"/>
              </w:rPr>
            </w:pPr>
          </w:p>
        </w:tc>
      </w:tr>
      <w:tr>
        <w:trPr>
          <w:trHeight w:val="245"/>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86-2170416</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2942 North 24th Street, Suite 115, #42035</w:t>
            </w:r>
          </w:p>
        </w:tc>
        <w:tc>
          <w:tcPr>
            <w:tcW w:w="3580" w:type="dxa"/>
            <w:vAlign w:val="bottom"/>
          </w:tcPr>
          <w:p>
            <w:pPr>
              <w:spacing w:after="0"/>
              <w:rPr>
                <w:sz w:val="24"/>
                <w:szCs w:val="24"/>
                <w:color w:val="auto"/>
              </w:rPr>
            </w:pPr>
          </w:p>
        </w:tc>
      </w:tr>
      <w:tr>
        <w:trPr>
          <w:trHeight w:val="22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Phoenix, AZ 85016</w:t>
            </w:r>
          </w:p>
        </w:tc>
        <w:tc>
          <w:tcPr>
            <w:tcW w:w="3580" w:type="dxa"/>
            <w:vAlign w:val="bottom"/>
          </w:tcPr>
          <w:p>
            <w:pPr>
              <w:spacing w:after="0"/>
              <w:rPr>
                <w:sz w:val="19"/>
                <w:szCs w:val="19"/>
                <w:color w:val="auto"/>
              </w:rPr>
            </w:pPr>
          </w:p>
        </w:tc>
      </w:tr>
      <w:tr>
        <w:trPr>
          <w:trHeight w:val="216"/>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80" w:type="dxa"/>
            <w:vAlign w:val="bottom"/>
          </w:tcPr>
          <w:p>
            <w:pPr>
              <w:spacing w:after="0"/>
              <w:rPr>
                <w:sz w:val="18"/>
                <w:szCs w:val="18"/>
                <w:color w:val="auto"/>
              </w:rPr>
            </w:pPr>
          </w:p>
        </w:tc>
      </w:tr>
      <w:tr>
        <w:trPr>
          <w:trHeight w:val="241"/>
        </w:trPr>
        <w:tc>
          <w:tcPr>
            <w:tcW w:w="55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center"/>
              <w:ind w:right="1900"/>
              <w:spacing w:after="0"/>
              <w:rPr>
                <w:sz w:val="20"/>
                <w:szCs w:val="20"/>
                <w:color w:val="auto"/>
              </w:rPr>
            </w:pPr>
            <w:r>
              <w:rPr>
                <w:rFonts w:ascii="Times New Roman" w:cs="Times New Roman" w:eastAsia="Times New Roman" w:hAnsi="Times New Roman"/>
                <w:sz w:val="18"/>
                <w:szCs w:val="18"/>
                <w:color w:val="auto"/>
              </w:rPr>
              <w:t> </w:t>
            </w:r>
          </w:p>
        </w:tc>
        <w:tc>
          <w:tcPr>
            <w:tcW w:w="3580" w:type="dxa"/>
            <w:vAlign w:val="bottom"/>
            <w:tcBorders>
              <w:bottom w:val="single" w:sz="8" w:color="auto"/>
            </w:tcBorders>
          </w:tcPr>
          <w:p>
            <w:pPr>
              <w:spacing w:after="0"/>
              <w:rPr>
                <w:sz w:val="20"/>
                <w:szCs w:val="20"/>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Fold Holdings, Inc. 2025 Incentive Award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Fold Holdings, Inc. 2025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 Reeves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2942 North 24th Street, Suite 115, #42035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AZ 85016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365-3277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Samuel P.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Rudnick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(617) 856-8200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99"/>
        </w:trPr>
        <w:tc>
          <w:tcPr>
            <w:tcW w:w="22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2080" w:type="dxa"/>
            <w:vAlign w:val="bottom"/>
            <w:vMerge w:val="restart"/>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17"/>
                <w:szCs w:val="17"/>
                <w:color w:val="auto"/>
              </w:rPr>
            </w:pPr>
          </w:p>
        </w:tc>
        <w:tc>
          <w:tcPr>
            <w:tcW w:w="5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2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vMerge w:val="continue"/>
          </w:tcPr>
          <w:p>
            <w:pPr>
              <w:spacing w:after="0"/>
              <w:rPr>
                <w:sz w:val="15"/>
                <w:szCs w:val="15"/>
                <w:color w:val="auto"/>
              </w:rPr>
            </w:pPr>
          </w:p>
        </w:tc>
        <w:tc>
          <w:tcPr>
            <w:tcW w:w="3720" w:type="dxa"/>
            <w:vAlign w:val="bottom"/>
          </w:tcPr>
          <w:p>
            <w:pPr>
              <w:ind w:left="132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21"/>
                <w:szCs w:val="21"/>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filed by Fold Holdings, Inc. (the “Registrant”) for the purpose of registering 2,905,156 additional shares of the Registrant’s common stock, par value $0.0001 per share (the “Common Stock”), which consists of (i) 2,420,963 shares of Common Stock reserved for issuance under the Registrant’s 2025 Incentive Award Plan (“Incentive Plan”) and (ii) 484,193 shares of Common Stock reserved for issuance under the Registrant’s 2025 Employee Stock Purchase Plan (the “ESPP”), as a result of the evergreen provisions in the Incentive Plan and the ESPP, which provide that the total number of shares of Common Stock reserved for issuance under the Incentive Plan and the ESPP, respectively, will be automatically increased as of the first day of each fiscal year by 5% and 1%, respectively, of the aggregate number of shares of Common Stock outstanding on the final day of the immediately preceding calendar year (or such smaller number of shares as is determined by the Registrant’s Board of Directors).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additional shares of Common Stock are securities of the same class as other securities for which a previous Registration Statement on Form S-8 was filed by the Registrant with the Securities and Exchange Commission (the “Commission”) on April 23, 2025 (File No. 333-286700) (the “Previous Registration Statement”). In accordance with General Instruction E of Form S-8, the contents of the Previous Registration Statement, including periodic reports filed after the Previous Registration Statement to maintain current information about the Registrant, are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225" w:lineRule="exact"/>
        <w:rPr>
          <w:sz w:val="20"/>
          <w:szCs w:val="20"/>
          <w:color w:val="auto"/>
        </w:rPr>
      </w:pPr>
    </w:p>
    <w:p>
      <w:pPr>
        <w:jc w:val="both"/>
        <w:ind w:left="660" w:firstLine="644"/>
        <w:spacing w:after="0" w:line="266" w:lineRule="auto"/>
        <w:tabs>
          <w:tab w:leader="none" w:pos="156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8">
        <w:r>
          <w:rPr>
            <w:rFonts w:ascii="Times New Roman" w:cs="Times New Roman" w:eastAsia="Times New Roman" w:hAnsi="Times New Roman"/>
            <w:sz w:val="18"/>
            <w:szCs w:val="18"/>
            <w:u w:val="single" w:color="auto"/>
            <w:color w:val="0000EE"/>
          </w:rPr>
          <w:t>Annual Report on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filed with the Commission on March 17, 2026 (File No. 001-41168) (the “Annual Report”) (including the information specifically incorporated by reference into the Annual Report from the Registrant’s Definitive Proxy Statement on </w:t>
      </w:r>
      <w:hyperlink r:id="rId1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Commission on April 8, 2026);</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0">
        <w:r>
          <w:rPr>
            <w:rFonts w:ascii="Times New Roman" w:cs="Times New Roman" w:eastAsia="Times New Roman" w:hAnsi="Times New Roman"/>
            <w:sz w:val="18"/>
            <w:szCs w:val="18"/>
            <w:u w:val="single" w:color="auto"/>
            <w:color w:val="0000EE"/>
          </w:rPr>
          <w:t>Quarterly Report on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ending March 31, 2026, filed with the Commission on May 12, 2026 (File No. 001-41168);</w:t>
      </w:r>
    </w:p>
    <w:p>
      <w:pPr>
        <w:spacing w:after="0" w:line="162" w:lineRule="exact"/>
        <w:rPr>
          <w:rFonts w:ascii="Times New Roman" w:cs="Times New Roman" w:eastAsia="Times New Roman" w:hAnsi="Times New Roman"/>
          <w:sz w:val="18"/>
          <w:szCs w:val="18"/>
          <w:color w:val="auto"/>
        </w:rPr>
      </w:pPr>
    </w:p>
    <w:p>
      <w:pPr>
        <w:ind w:left="660" w:firstLine="644"/>
        <w:spacing w:after="0" w:line="282" w:lineRule="auto"/>
        <w:tabs>
          <w:tab w:leader="none" w:pos="15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1">
        <w:r>
          <w:rPr>
            <w:rFonts w:ascii="Times New Roman" w:cs="Times New Roman" w:eastAsia="Times New Roman" w:hAnsi="Times New Roman"/>
            <w:sz w:val="18"/>
            <w:szCs w:val="18"/>
            <w:u w:val="single" w:color="auto"/>
            <w:color w:val="0000EE"/>
          </w:rPr>
          <w:t>February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May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the information furnished under Item 7.01 and Exhibit 99.1 thereto);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capital stock contained in </w:t>
      </w:r>
      <w:hyperlink r:id="rId23">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2025, filed with the Commission on March 17, 2026.</w:t>
      </w:r>
    </w:p>
    <w:p>
      <w:pPr>
        <w:spacing w:after="0" w:line="16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All reports and other documents filed by the Registrant with the Commission pursuant to Sections 13(a), 13(c), 14 and 15(d) of the Exchange Act on or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w:t>
      </w:r>
    </w:p>
    <w:p>
      <w:pPr>
        <w:spacing w:after="0" w:line="183"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no circumstances shall any information furnished under Item 2.02 or Item 7.01 of Form 8-K, and exhibits furnished on such form, be deemed incorporated herein by reference unless such Form 8-K expressly provides to the contrary.</w:t>
      </w:r>
    </w:p>
    <w:p>
      <w:pPr>
        <w:spacing w:after="0" w:line="37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Third Amended and Restated Certificate of Incorporation of Fold Holdings, Inc. (incorporated by reference to Exhibit 3.1 to the Company’s</w:t>
              </w:r>
            </w:hyperlink>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Current Report on Form 8-K filed on February 14,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Second Amended and Restated Bylaws of Fold Holdings, Inc. (incorporated by reference to Exhibit 3.2 to the Company’s Current Report</w:t>
              </w:r>
            </w:hyperlink>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on Form 8-K filed on February 14, 2025).</w:t>
              </w:r>
            </w:hyperlink>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Specimen Common Stock Certificate (incorporated by reference to Exhibit 4.1 to the Company’s Current Report on Form 8-K filed with</w:t>
              </w:r>
            </w:hyperlink>
          </w:p>
        </w:tc>
      </w:tr>
      <w:tr>
        <w:trPr>
          <w:trHeight w:val="216"/>
        </w:trPr>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the SEC on February 14, 2025).</w:t>
              </w:r>
            </w:hyperlink>
          </w:p>
        </w:tc>
        <w:tc>
          <w:tcPr>
            <w:tcW w:w="780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Opinion of Brown Rudnick LLP.</w:t>
            </w: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CBIZ CPAs P.C.</w:t>
            </w: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3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w:t>
            </w:r>
          </w:p>
        </w:tc>
        <w:tc>
          <w:tcPr>
            <w:tcW w:w="8080" w:type="dxa"/>
            <w:vAlign w:val="bottom"/>
            <w:tcBorders>
              <w:top w:val="single" w:sz="8" w:color="CCEEFF"/>
            </w:tcBorders>
            <w:gridSpan w:val="11"/>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Brown Rudnick LLP (included in Exhibit 5.1).</w:t>
            </w:r>
          </w:p>
        </w:tc>
        <w:tc>
          <w:tcPr>
            <w:tcW w:w="590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Powers of Attorney (included on the signature page of this Registration Statement).</w:t>
            </w: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Fold Holdings, Inc. 2025 Incentive Award Plan (incorporated by reference to Exhibit 10.4 to the Company’s Current Report on Form 8-K</w:t>
              </w:r>
            </w:hyperlink>
          </w:p>
        </w:tc>
      </w:tr>
      <w:tr>
        <w:trPr>
          <w:trHeight w:val="217"/>
        </w:trPr>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filed on February 14, 2025).</w:t>
              </w:r>
            </w:hyperlink>
          </w:p>
        </w:tc>
        <w:tc>
          <w:tcPr>
            <w:tcW w:w="806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Fold Holdings, Inc. 2025 Employee Stock Purchase Plan (incorporated by reference to Exhibit 10.5 to the Company’s Current Report on</w:t>
              </w:r>
            </w:hyperlink>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8-K filed on February 14, 2025).</w:t>
              </w:r>
            </w:hyperlink>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Stock Option Grant Notice and Stock Option Agreement under the Fold Holdings, Inc. 2025 Incentive Award Plan (incorporated</w:t>
              </w:r>
            </w:hyperlink>
          </w:p>
        </w:tc>
      </w:tr>
      <w:tr>
        <w:trPr>
          <w:trHeight w:val="216"/>
        </w:trPr>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by reference to Exhibit 99.3 to the Company’s Registration Statement on Form S-8 filed on April 23, 2025).</w:t>
              </w:r>
            </w:hyperlink>
          </w:p>
        </w:tc>
        <w:tc>
          <w:tcPr>
            <w:tcW w:w="2320" w:type="dxa"/>
            <w:vAlign w:val="bottom"/>
            <w:tcBorders>
              <w:bottom w:val="single" w:sz="8" w:color="CCEEFF"/>
            </w:tcBorders>
            <w:gridSpan w:val="2"/>
            <w:shd w:val="clear" w:color="auto" w:fill="CCEEFF"/>
          </w:tcPr>
          <w:p>
            <w:pPr>
              <w:spacing w:after="0"/>
              <w:rPr>
                <w:sz w:val="18"/>
                <w:szCs w:val="18"/>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Form of Restricted Stock Unit Grant Notice and Restricted Stock Unit Agreement under the Fold Holdings, Inc. 2025 Incentive Award</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w:t>
            </w: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Phoenix, Arizona, on June 4,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784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FOLD HOLDINGS, INC.</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4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 Reeves</w:t>
            </w: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Will Reeves</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SIGNATURES AND 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Each person whose signature appears below constitutes and appoints each of Will Reeves and Wolfe Repass, acting alone or together with another attorney-in-fact, as his or her true and lawful attorney-in-fact and agent, with full power of substitution and resubstitution, for such person and in his or her name, place and stead, and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fully and to all intents and purposes as 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2"/>
                <w:szCs w:val="22"/>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2"/>
                <w:szCs w:val="22"/>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Reeves</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Will Reeves</w:t>
            </w:r>
          </w:p>
        </w:tc>
        <w:tc>
          <w:tcPr>
            <w:tcW w:w="240" w:type="dxa"/>
            <w:vAlign w:val="bottom"/>
          </w:tcPr>
          <w:p>
            <w:pPr>
              <w:spacing w:after="0"/>
              <w:rPr>
                <w:sz w:val="20"/>
                <w:szCs w:val="20"/>
                <w:color w:val="auto"/>
              </w:rPr>
            </w:pPr>
          </w:p>
        </w:tc>
        <w:tc>
          <w:tcPr>
            <w:tcW w:w="5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34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Wolfe Repass</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182"/>
        </w:trPr>
        <w:tc>
          <w:tcPr>
            <w:tcW w:w="2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Wolfe Repass</w:t>
            </w:r>
          </w:p>
        </w:tc>
        <w:tc>
          <w:tcPr>
            <w:tcW w:w="240" w:type="dxa"/>
            <w:vAlign w:val="bottom"/>
          </w:tcPr>
          <w:p>
            <w:pPr>
              <w:spacing w:after="0"/>
              <w:rPr>
                <w:sz w:val="15"/>
                <w:szCs w:val="15"/>
                <w:color w:val="auto"/>
              </w:rPr>
            </w:pPr>
          </w:p>
        </w:tc>
        <w:tc>
          <w:tcPr>
            <w:tcW w:w="5840" w:type="dxa"/>
            <w:vAlign w:val="bottom"/>
            <w:gridSpan w:val="2"/>
          </w:tcPr>
          <w:p>
            <w:pPr>
              <w:ind w:left="1600"/>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w:t>
            </w:r>
          </w:p>
        </w:tc>
        <w:tc>
          <w:tcPr>
            <w:tcW w:w="2340" w:type="dxa"/>
            <w:vAlign w:val="bottom"/>
          </w:tcPr>
          <w:p>
            <w:pPr>
              <w:spacing w:after="0"/>
              <w:rPr>
                <w:sz w:val="15"/>
                <w:szCs w:val="15"/>
                <w:color w:val="auto"/>
              </w:rPr>
            </w:pPr>
          </w:p>
        </w:tc>
      </w:tr>
      <w:tr>
        <w:trPr>
          <w:trHeight w:val="236"/>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2340" w:type="dxa"/>
            <w:vAlign w:val="bottom"/>
          </w:tcPr>
          <w:p>
            <w:pPr>
              <w:spacing w:after="0"/>
              <w:rPr>
                <w:sz w:val="20"/>
                <w:szCs w:val="20"/>
                <w:color w:val="auto"/>
              </w:rPr>
            </w:pPr>
          </w:p>
        </w:tc>
      </w:tr>
      <w:tr>
        <w:trPr>
          <w:trHeight w:val="4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Lesley Goldwasser</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Lesley Goldwasser</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Kirstin Hill</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Kirstin Hill</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Hohns</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Andrew Hohns</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Kirkwood</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Jonathan Kirkwood</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Erez Simha</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Erez Simha</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Bracebridge H. Young, Jr.</w:t>
            </w:r>
          </w:p>
        </w:tc>
        <w:tc>
          <w:tcPr>
            <w:tcW w:w="240" w:type="dxa"/>
            <w:vAlign w:val="bottom"/>
          </w:tcPr>
          <w:p>
            <w:pPr>
              <w:spacing w:after="0"/>
              <w:rPr>
                <w:sz w:val="24"/>
                <w:szCs w:val="24"/>
                <w:color w:val="auto"/>
              </w:rPr>
            </w:pPr>
          </w:p>
        </w:tc>
        <w:tc>
          <w:tcPr>
            <w:tcW w:w="5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4,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Bracebridge H. Young, Jr.</w:t>
            </w:r>
          </w:p>
        </w:tc>
        <w:tc>
          <w:tcPr>
            <w:tcW w:w="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637"/>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2"/>
          </w:tcPr>
          <w:p>
            <w:pPr>
              <w:ind w:left="2420"/>
              <w:spacing w:after="0"/>
              <w:rPr>
                <w:sz w:val="20"/>
                <w:szCs w:val="20"/>
                <w:color w:val="auto"/>
              </w:rPr>
            </w:pPr>
            <w:r>
              <w:rPr>
                <w:rFonts w:ascii="Times New Roman" w:cs="Times New Roman" w:eastAsia="Times New Roman" w:hAnsi="Times New Roman"/>
                <w:sz w:val="18"/>
                <w:szCs w:val="18"/>
                <w:color w:val="auto"/>
              </w:rPr>
              <w:t>II-3</w:t>
            </w: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4556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13455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Fold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2942 North 24th Street, Suite 115, #42035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 85016</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outside counsel to Fold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of the Company’s registration statement on Form S-8 to be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or about the date hereof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relating to the offer and sale of up to 2,905,156 additional shares of the Company’s common stock,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consisting of (i) 2,420,963 Shares reserved for issuance under the Company’s 2025 Incentive Award Plan (the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as a result of the annual evergreen increase under the Incentive Plan, and (ii) 484,193 Shares reserved for issuance under the Company’s 2025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as a result of the annual evergreen increase under the ESPP (the Incentive Plan and the ESPP, together,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promulgated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relied solely upon (i) the third amended and restated certificate of incorporation of the Company, as in effect on the date hereof, (ii) the second amended and restated bylaws of the Company, as in effect on the date hereof, (iii) the Registration Statement, (iv) the Plans, (v) resolutions of the board of directors of the Company relating to, among other matters, the approval of the Plans and the reservation for issuance of the Shares issuable thereunder and the filing of the Registration Statement. In our examination, we have assumed the legal capacity of all natural persons, the genuineness of all signatures, the authenticity of all documents submitted to us as originals, the conformity to original documents of all documents submitted to us as certified or photostatic copies, the authenticity of the originals of such latter documents, that all parties to such documents had the power, corporate or other, to enter into and perform all obligations thereunder and all such documents have been duly authorized by all requisite action, corporate or other, and duly executed and delivered by all parties thereto.</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opinions contained herein are limited to the General Corporation Law of the State of Delaware, including the statutory provisions, all applicable provisions of the Delaware Constitution, and reported judicial decisions interpreting these laws. We express no opinion herein as to any other laws, statutes, regulations or ordinances.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123190</wp:posOffset>
            </wp:positionV>
            <wp:extent cx="458597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4585970" cy="1797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800"/>
        <w:spacing w:after="0"/>
        <w:rPr>
          <w:sz w:val="20"/>
          <w:szCs w:val="20"/>
          <w:color w:val="auto"/>
        </w:rPr>
      </w:pPr>
      <w:r>
        <w:rPr>
          <w:rFonts w:ascii="Times New Roman" w:cs="Times New Roman" w:eastAsia="Times New Roman" w:hAnsi="Times New Roman"/>
          <w:sz w:val="18"/>
          <w:szCs w:val="18"/>
          <w:color w:val="auto"/>
        </w:rPr>
        <w:t>Fold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45770"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445770" cy="420370"/>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June 4, 2026</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Page 2</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grants or awards under the Plans are duly authorized by all necessary corporate action and duly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In giving such consent, we do not thereby admit that we are experts within the meaning of the Securities Act or the rules and regulations of the Commission or that this consent is required by Section 7 of the Securities Act. This opinion letter speaks only as of the date hereof and we assume no obligation to update the opinions set forth herein at any date subsequent to the date hereof.</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BROWN RUDNICK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17, 2026 with respect to the financial statements of Fold Holdings, Inc. for the year ended December 31, 2025 included in the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ectPr>
          <w:pgSz w:w="11900" w:h="16838" w:orient="portrait"/>
          <w:cols w:equalWidth="0" w:num="1">
            <w:col w:w="11240"/>
          </w:cols>
          <w:pgMar w:left="320" w:top="10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28, 2025 with respect to the financial statements of Fold Holdings, Inc. for the year ended December 31, 2024 included in the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27875" cy="578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27875" cy="5784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FOLD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otice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Fold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described in this Restricted Stock Unit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subject to the terms and conditions of the Fold Holdings, Inc. 2025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Restricted Stock Unit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the addendum attached thereto (the “</w:t>
      </w:r>
      <w:r>
        <w:rPr>
          <w:rFonts w:ascii="Times New Roman" w:cs="Times New Roman" w:eastAsia="Times New Roman" w:hAnsi="Times New Roman"/>
          <w:sz w:val="18"/>
          <w:szCs w:val="18"/>
          <w:b w:val="1"/>
          <w:bCs w:val="1"/>
          <w:i w:val="1"/>
          <w:iCs w:val="1"/>
          <w:color w:val="auto"/>
        </w:rPr>
        <w:t>Addendum</w:t>
      </w:r>
      <w:r>
        <w:rPr>
          <w:rFonts w:ascii="Times New Roman" w:cs="Times New Roman" w:eastAsia="Times New Roman" w:hAnsi="Times New Roman"/>
          <w:sz w:val="18"/>
          <w:szCs w:val="18"/>
          <w:color w:val="auto"/>
        </w:rPr>
        <w:t>” and, together with the Grant Notice and Restricted Stock Unit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 Capitalized terms not specifically defined in this Grant Notice or the Agreement have the meanings given to them in the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25" w:lineRule="exact"/>
        <w:rPr>
          <w:sz w:val="20"/>
          <w:szCs w:val="20"/>
          <w:color w:val="auto"/>
        </w:rPr>
      </w:pPr>
    </w:p>
    <w:p>
      <w:pPr>
        <w:spacing w:after="0"/>
        <w:tabs>
          <w:tab w:leader="none" w:pos="4260" w:val="left"/>
        </w:tabs>
        <w:rPr>
          <w:sz w:val="20"/>
          <w:szCs w:val="20"/>
          <w:color w:val="auto"/>
        </w:rPr>
      </w:pPr>
      <w:r>
        <w:rPr>
          <w:rFonts w:ascii="Times New Roman" w:cs="Times New Roman" w:eastAsia="Times New Roman" w:hAnsi="Times New Roman"/>
          <w:sz w:val="18"/>
          <w:szCs w:val="18"/>
          <w:b w:val="1"/>
          <w:bCs w:val="1"/>
          <w:color w:val="auto"/>
        </w:rPr>
        <w:t>Vesting Schedule: Please refer to Appendix: Vesting</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 GRANTS TO NON-EMPLOYEE DIRECTORS</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w:t>
      </w:r>
    </w:p>
    <w:p>
      <w:pPr>
        <w:spacing w:after="0" w:line="9" w:lineRule="exact"/>
        <w:rPr>
          <w:sz w:val="20"/>
          <w:szCs w:val="20"/>
          <w:color w:val="auto"/>
        </w:rPr>
      </w:pPr>
    </w:p>
    <w:p>
      <w:pPr>
        <w:jc w:val="both"/>
        <w:ind w:left="4280"/>
        <w:spacing w:after="0" w:line="253" w:lineRule="auto"/>
        <w:rPr>
          <w:sz w:val="20"/>
          <w:szCs w:val="20"/>
          <w:color w:val="auto"/>
        </w:rPr>
      </w:pPr>
      <w:r>
        <w:rPr>
          <w:rFonts w:ascii="Times New Roman" w:cs="Times New Roman" w:eastAsia="Times New Roman" w:hAnsi="Times New Roman"/>
          <w:sz w:val="18"/>
          <w:szCs w:val="18"/>
          <w:color w:val="auto"/>
        </w:rPr>
        <w:t>The RSUs shall vest in full on the earlier of (i) the one (1) year anniversary of the Vesting Commencement Date and (ii) the day before the date of the next annual shareholders’ meeting of the Company following the Grant Date, subject to Participant’s continued status as a Director through the applicable vesting date.</w:t>
      </w:r>
    </w:p>
    <w:p>
      <w:pPr>
        <w:spacing w:after="0" w:line="189" w:lineRule="exact"/>
        <w:rPr>
          <w:sz w:val="20"/>
          <w:szCs w:val="20"/>
          <w:color w:val="auto"/>
        </w:rPr>
      </w:pPr>
    </w:p>
    <w:p>
      <w:pPr>
        <w:jc w:val="both"/>
        <w:ind w:left="4280"/>
        <w:spacing w:after="0" w:line="254" w:lineRule="auto"/>
        <w:rPr>
          <w:sz w:val="20"/>
          <w:szCs w:val="20"/>
          <w:color w:val="auto"/>
        </w:rPr>
      </w:pPr>
      <w:r>
        <w:rPr>
          <w:rFonts w:ascii="Times New Roman" w:cs="Times New Roman" w:eastAsia="Times New Roman" w:hAnsi="Times New Roman"/>
          <w:sz w:val="18"/>
          <w:szCs w:val="18"/>
          <w:color w:val="auto"/>
        </w:rPr>
        <w:t>Notwithstanding the foregoing, (i) if a Change in Control is consummated and Participant remains in continued status as a Director until at least immediately prior to such Change in Control and Participant will not become, as of immediately following such Change in Control, a member of the Board or the board of directors of the successor to the Company (or any parent thereof), the RSUs shall vest in full (to the extent then-unvested) immediately prior to the consummation of such Change in Control; and (ii) if Participant incurs a Termination of Service as a Director by reason of Participant’s death or a termination by the Company or a Subsidiary thereof due to Participant’s Disability, the RSUs shall vest in full (to the extent then-unvested) upon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4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 GRANTS TO PARTICIPANTS OTHER THAN NON-EMPLOYEE DIRECTORS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left="4280"/>
        <w:spacing w:after="0" w:line="213" w:lineRule="auto"/>
        <w:rPr>
          <w:sz w:val="20"/>
          <w:szCs w:val="20"/>
          <w:color w:val="auto"/>
        </w:rPr>
      </w:pPr>
      <w:r>
        <w:rPr>
          <w:rFonts w:ascii="Times New Roman" w:cs="Times New Roman" w:eastAsia="Times New Roman" w:hAnsi="Times New Roman"/>
          <w:sz w:val="18"/>
          <w:szCs w:val="18"/>
          <w:color w:val="auto"/>
        </w:rPr>
        <w:t>One-fourth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of the total number of RSUs shall vest on the first anniversary of the Vesting Commencement Date and one-sixteenth (1/16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of the total number of RSUs shall vest quarterly thereafter, subject to Participant’s continued status as [an Employee / a Consultant] through the applicable vesting date.]</w:t>
      </w:r>
    </w:p>
    <w:p>
      <w:pPr>
        <w:spacing w:after="0" w:line="198" w:lineRule="exact"/>
        <w:rPr>
          <w:sz w:val="20"/>
          <w:szCs w:val="20"/>
          <w:color w:val="auto"/>
        </w:rPr>
      </w:pPr>
    </w:p>
    <w:p>
      <w:pPr>
        <w:jc w:val="both"/>
        <w:ind w:left="428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Participant incurs a Termination of Service as an Employee by reason of Participant’s death or a termination by the Company or a Subsidiary thereof due to Participant’s Disability, the RSUs shall vest in full (to the extent then-unvested) upon such Termination of Service.</w:t>
      </w:r>
    </w:p>
    <w:p>
      <w:pPr>
        <w:spacing w:after="0" w:line="180" w:lineRule="exact"/>
        <w:rPr>
          <w:sz w:val="20"/>
          <w:szCs w:val="20"/>
          <w:color w:val="auto"/>
        </w:rPr>
      </w:pPr>
    </w:p>
    <w:p>
      <w:pPr>
        <w:jc w:val="both"/>
        <w:ind w:left="4280"/>
        <w:spacing w:after="0" w:line="252" w:lineRule="auto"/>
        <w:rPr>
          <w:sz w:val="20"/>
          <w:szCs w:val="20"/>
          <w:color w:val="auto"/>
        </w:rPr>
      </w:pPr>
      <w:r>
        <w:rPr>
          <w:rFonts w:ascii="Times New Roman" w:cs="Times New Roman" w:eastAsia="Times New Roman" w:hAnsi="Times New Roman"/>
          <w:sz w:val="18"/>
          <w:szCs w:val="18"/>
          <w:color w:val="auto"/>
        </w:rPr>
        <w:t>Further notwithstanding the foregoing, if a Change in Control is consummated and within twelve (12) months following the consummation of such Change in Control, Participant incurs a Termination of Service as an Employee due to a termination by the Company or a Subsidiary thereof without Cause[ or due to Participant’s resignation for Good Reason] (any such termination, a “</w:t>
      </w:r>
      <w:r>
        <w:rPr>
          <w:rFonts w:ascii="Times New Roman" w:cs="Times New Roman" w:eastAsia="Times New Roman" w:hAnsi="Times New Roman"/>
          <w:sz w:val="18"/>
          <w:szCs w:val="18"/>
          <w:b w:val="1"/>
          <w:bCs w:val="1"/>
          <w:i w:val="1"/>
          <w:iCs w:val="1"/>
          <w:color w:val="auto"/>
        </w:rPr>
        <w:t>Qualifying CIC Termination</w:t>
      </w:r>
      <w:r>
        <w:rPr>
          <w:rFonts w:ascii="Times New Roman" w:cs="Times New Roman" w:eastAsia="Times New Roman" w:hAnsi="Times New Roman"/>
          <w:sz w:val="18"/>
          <w:szCs w:val="18"/>
          <w:color w:val="auto"/>
        </w:rPr>
        <w:t>”), then subject to Participant timely executing and not revoking a release of claims in a form prescribed by the Company (a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that becomes effective and irrevocable no later than sixty (60) days following the date of such Termination of Service (or such earlier date as set forth in the Release) (the date such Release becomes effective and irrevocable, the “</w:t>
      </w:r>
      <w:r>
        <w:rPr>
          <w:rFonts w:ascii="Times New Roman" w:cs="Times New Roman" w:eastAsia="Times New Roman" w:hAnsi="Times New Roman"/>
          <w:sz w:val="18"/>
          <w:szCs w:val="18"/>
          <w:b w:val="1"/>
          <w:bCs w:val="1"/>
          <w:i w:val="1"/>
          <w:iCs w:val="1"/>
          <w:color w:val="auto"/>
        </w:rPr>
        <w:t>Release Effective Date</w:t>
      </w:r>
      <w:r>
        <w:rPr>
          <w:rFonts w:ascii="Times New Roman" w:cs="Times New Roman" w:eastAsia="Times New Roman" w:hAnsi="Times New Roman"/>
          <w:sz w:val="18"/>
          <w:szCs w:val="18"/>
          <w:color w:val="auto"/>
        </w:rPr>
        <w:t>”), the RSUs shall vest in full (to the extent then-unvested) upon the Release Effective Date. For the avoidance of doubt, if the</w:t>
      </w:r>
    </w:p>
    <w:p>
      <w:pPr>
        <w:spacing w:after="0" w:line="5" w:lineRule="exact"/>
        <w:rPr>
          <w:sz w:val="20"/>
          <w:szCs w:val="20"/>
          <w:color w:val="auto"/>
        </w:rPr>
      </w:pPr>
    </w:p>
    <w:p>
      <w:pPr>
        <w:jc w:val="both"/>
        <w:ind w:left="4280"/>
        <w:spacing w:after="0" w:line="209" w:lineRule="auto"/>
        <w:rPr>
          <w:sz w:val="20"/>
          <w:szCs w:val="20"/>
          <w:color w:val="auto"/>
        </w:rPr>
      </w:pPr>
      <w:r>
        <w:rPr>
          <w:rFonts w:ascii="Times New Roman" w:cs="Times New Roman" w:eastAsia="Times New Roman" w:hAnsi="Times New Roman"/>
          <w:sz w:val="18"/>
          <w:szCs w:val="18"/>
          <w:color w:val="auto"/>
        </w:rPr>
        <w:t>Release does not become effective and irrevocable on or prior to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Qualifying CIC Termination, then the RSUs (to the extent not then-vested) shall</w:t>
      </w:r>
    </w:p>
    <w:p>
      <w:pPr>
        <w:spacing w:after="0" w:line="2" w:lineRule="exact"/>
        <w:rPr>
          <w:sz w:val="20"/>
          <w:szCs w:val="20"/>
          <w:color w:val="auto"/>
        </w:rPr>
      </w:pPr>
    </w:p>
    <w:p>
      <w:pPr>
        <w:jc w:val="both"/>
        <w:ind w:left="4280"/>
        <w:spacing w:after="0" w:line="221" w:lineRule="auto"/>
        <w:rPr>
          <w:sz w:val="20"/>
          <w:szCs w:val="20"/>
          <w:color w:val="auto"/>
        </w:rPr>
      </w:pPr>
      <w:r>
        <w:rPr>
          <w:rFonts w:ascii="Times New Roman" w:cs="Times New Roman" w:eastAsia="Times New Roman" w:hAnsi="Times New Roman"/>
          <w:sz w:val="18"/>
          <w:szCs w:val="18"/>
          <w:color w:val="auto"/>
        </w:rPr>
        <w:t>be canceled and forfeited without payment of any consideration therefor on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such Termination of Service, and Participant shall have no further right to or interest in such forfeited RSUs.]]</w:t>
      </w:r>
    </w:p>
    <w:p>
      <w:pPr>
        <w:spacing w:after="0" w:line="194" w:lineRule="exact"/>
        <w:rPr>
          <w:sz w:val="20"/>
          <w:szCs w:val="20"/>
          <w:color w:val="auto"/>
        </w:rPr>
      </w:pPr>
    </w:p>
    <w:p>
      <w:pPr>
        <w:spacing w:after="0"/>
        <w:tabs>
          <w:tab w:leader="none" w:pos="4260" w:val="left"/>
        </w:tabs>
        <w:rPr>
          <w:sz w:val="20"/>
          <w:szCs w:val="20"/>
          <w:color w:val="auto"/>
        </w:rPr>
      </w:pPr>
      <w:r>
        <w:rPr>
          <w:rFonts w:ascii="Times New Roman" w:cs="Times New Roman" w:eastAsia="Times New Roman" w:hAnsi="Times New Roman"/>
          <w:sz w:val="18"/>
          <w:szCs w:val="18"/>
          <w:b w:val="1"/>
          <w:bCs w:val="1"/>
          <w:color w:val="auto"/>
        </w:rPr>
        <w:t>Definition:</w:t>
      </w:r>
      <w:r>
        <w:rPr>
          <w:sz w:val="20"/>
          <w:szCs w:val="20"/>
          <w:color w:val="auto"/>
        </w:rPr>
        <w:tab/>
      </w:r>
      <w:r>
        <w:rPr>
          <w:rFonts w:ascii="Times New Roman" w:cs="Times New Roman" w:eastAsia="Times New Roman" w:hAnsi="Times New Roman"/>
          <w:sz w:val="18"/>
          <w:szCs w:val="18"/>
          <w:color w:val="auto"/>
        </w:rPr>
        <w:t>For purposes hereof, the following term shall have the respective meanings set forth below:</w:t>
      </w:r>
    </w:p>
    <w:p>
      <w:pPr>
        <w:spacing w:after="0" w:line="225" w:lineRule="exact"/>
        <w:rPr>
          <w:sz w:val="20"/>
          <w:szCs w:val="20"/>
          <w:color w:val="auto"/>
        </w:rPr>
      </w:pPr>
    </w:p>
    <w:p>
      <w:pPr>
        <w:jc w:val="both"/>
        <w:ind w:left="428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have the meaning set forth in the Fold Holdings, Inc. Executive Severance Plan.]</w:t>
      </w: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RSUs, Participant agrees to be bound by the terms of this Grant Notice, the Plan and the Agreement. In addition, Participant acknowledges and agrees to be bound by the forfeiture provisions related to Restrictive Covenants (as defined in Exhibit A) set forth in Section 2.1(b) of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FOLD HOLDINGS,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39"/>
        </w:trPr>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Chief Executive Officer</w:t>
            </w:r>
          </w:p>
        </w:tc>
        <w:tc>
          <w:tcPr>
            <w:tcW w:w="780" w:type="dxa"/>
            <w:vAlign w:val="bottom"/>
          </w:tcPr>
          <w:p>
            <w:pPr>
              <w:spacing w:after="0"/>
              <w:rPr>
                <w:sz w:val="15"/>
                <w:szCs w:val="15"/>
                <w:color w:val="auto"/>
              </w:rPr>
            </w:pPr>
          </w:p>
        </w:tc>
        <w:tc>
          <w:tcPr>
            <w:tcW w:w="49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[Participant Name]</w:t>
            </w:r>
          </w:p>
        </w:tc>
      </w:tr>
      <w:tr>
        <w:trPr>
          <w:trHeight w:val="196"/>
        </w:trPr>
        <w:tc>
          <w:tcPr>
            <w:tcW w:w="580" w:type="dxa"/>
            <w:vAlign w:val="bottom"/>
          </w:tcPr>
          <w:p>
            <w:pPr>
              <w:spacing w:after="0"/>
              <w:rPr>
                <w:sz w:val="17"/>
                <w:szCs w:val="17"/>
                <w:color w:val="auto"/>
              </w:rPr>
            </w:pPr>
          </w:p>
        </w:tc>
        <w:tc>
          <w:tcPr>
            <w:tcW w:w="17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Fold Holdings, Inc.</w:t>
            </w:r>
          </w:p>
        </w:tc>
        <w:tc>
          <w:tcPr>
            <w:tcW w:w="3220" w:type="dxa"/>
            <w:vAlign w:val="bottom"/>
          </w:tcPr>
          <w:p>
            <w:pPr>
              <w:spacing w:after="0"/>
              <w:rPr>
                <w:sz w:val="17"/>
                <w:szCs w:val="17"/>
                <w:color w:val="auto"/>
              </w:rPr>
            </w:pPr>
          </w:p>
        </w:tc>
        <w:tc>
          <w:tcPr>
            <w:tcW w:w="57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Date:</w:t>
            </w:r>
          </w:p>
        </w:tc>
      </w:tr>
      <w:tr>
        <w:trPr>
          <w:trHeight w:val="675"/>
        </w:trPr>
        <w:tc>
          <w:tcPr>
            <w:tcW w:w="58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Unit Agreement or the Addendum attached hereto shall have the meanings specified in the Grant Notice or, if not defined in the Grant Notice, in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firstLine="1304"/>
        <w:spacing w:after="0" w:line="266" w:lineRule="auto"/>
        <w:tabs>
          <w:tab w:leader="none" w:pos="15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RSUs</w:t>
      </w:r>
      <w:r>
        <w:rPr>
          <w:rFonts w:ascii="Times New Roman" w:cs="Times New Roman" w:eastAsia="Times New Roman" w:hAnsi="Times New Roman"/>
          <w:sz w:val="18"/>
          <w:szCs w:val="18"/>
          <w:color w:val="auto"/>
        </w:rPr>
        <w:t>. The Company has granted the RSUs to Participant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Each RSU represents the right to receive one Share, as set forth in this Agreement. Participant will have no right to the distribution of any Shares until the time (if ever) the RSUs have vested.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are subject to the terms and conditions set forth in this Agreement and the Plan, which is incorporated herein by reference. In the event of any inconsistency between the Plan and this Agreement, the terms of the Plan will control, unless it is expressly specified in this Agreement or the Grant Notice that the specific provision of the Plan will not apply. For clarity, the foregoing sentence shall not limit the applicability of any additive language contained in this Agreement which provides supplemental or additional terms not inconsistent with the Plan. If the Addendum applies to Participant, in the event of a conflict between the terms of this Agreement or the Plan and the provisions in the Addendum, the terms and conditions in the Addendum shall control.</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will at all times prior to settlement represent an unsecured Company obligation payable only from the Company’s general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2"/>
          <w:szCs w:val="12"/>
          <w:b w:val="1"/>
          <w:bCs w:val="1"/>
          <w:color w:val="auto"/>
        </w:rPr>
        <w:t>forfeiture</w:t>
      </w:r>
      <w:r>
        <w:rPr>
          <w:rFonts w:ascii="Times New Roman" w:cs="Times New Roman" w:eastAsia="Times New Roman" w:hAnsi="Times New Roman"/>
          <w:sz w:val="18"/>
          <w:szCs w:val="18"/>
          <w:b w:val="1"/>
          <w:bCs w:val="1"/>
          <w:color w:val="auto"/>
        </w:rPr>
        <w:t xml:space="preserve"> AND SETTLEMENT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Forfeiture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1304"/>
        <w:spacing w:after="0" w:line="284" w:lineRule="auto"/>
        <w:tabs>
          <w:tab w:leader="none" w:pos="15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RSUs will vest according to the vesting schedule in the Grant Notice except that any fraction of an RSU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vested will be accumulated and will vest only when a whole RSU has accumulated.</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0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Grant Notice, the Plan or this Agreement, and unless the Administrator otherwise determines, in the event of Participant’s Termination of Service [as a Director / as an Employee / as a Consultant] for any reason, all unvested RSUs will immediately and automatically be cancelled and forfeited (after taking into consideration any accelerated vesting which may occur in connection with such Termination of Service, if any).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2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grant of the RSUs hereunder, and further as a material inducement for the Company to enter into this Agreement with Participant and to grant Participant the RSUs, Participant hereby acknowledges and agrees that, at the Company’s request, Participant shall enter into one or more agreements (in a form to be provided by the Company or any of its Subsidiaries) with the Company or any of its Subsidiaries setting forth restrictive covenants in favor of the Company and its Subsidiaries (the restrictive covenants set forth in any such agreement(s) (including any such agreement entered into prior to the Grant Date), collectively, the “</w:t>
      </w:r>
      <w:r>
        <w:rPr>
          <w:rFonts w:ascii="Times New Roman" w:cs="Times New Roman" w:eastAsia="Times New Roman" w:hAnsi="Times New Roman"/>
          <w:sz w:val="18"/>
          <w:szCs w:val="18"/>
          <w:b w:val="1"/>
          <w:bCs w:val="1"/>
          <w:i w:val="1"/>
          <w:iCs w:val="1"/>
          <w:color w:val="auto"/>
        </w:rPr>
        <w:t>Restrictive Covenants</w:t>
      </w:r>
      <w:r>
        <w:rPr>
          <w:rFonts w:ascii="Times New Roman" w:cs="Times New Roman" w:eastAsia="Times New Roman" w:hAnsi="Times New Roman"/>
          <w:sz w:val="18"/>
          <w:szCs w:val="18"/>
          <w:color w:val="auto"/>
        </w:rPr>
        <w:t>”). In the event of Participant’s Termination of Service for Cause or breach of any Restrictive Covenant, then to the greatest extent permitted by Applicable Law and except as otherwise determined by the Administrator, any unvested RSUs or vested RSUs which have not yet been settled will automatically be forfeited and cancelled as of such breach or Termination of Service, as applicable, without payment.</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18"/>
          <w:szCs w:val="18"/>
          <w:color w:val="auto"/>
        </w:rPr>
        <w:t>(a) RSUs that vest will be paid in Shares as soon as administratively practicable after the vesting of the applicable RSU, but in no event later than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calendar year following the calendar year in which the applicable RSU vests. For the avoidance of doubt, the term “as soon as administratively practicable” shall be construed so as to allow the Company to settle Shares up to the first day of the fiscal quarter following any given vesting date.</w:t>
      </w:r>
    </w:p>
    <w:p>
      <w:pPr>
        <w:spacing w:after="0" w:line="198" w:lineRule="exact"/>
        <w:rPr>
          <w:sz w:val="20"/>
          <w:szCs w:val="20"/>
          <w:color w:val="auto"/>
        </w:rPr>
      </w:pPr>
    </w:p>
    <w:p>
      <w:pPr>
        <w:jc w:val="both"/>
        <w:ind w:firstLine="1304"/>
        <w:spacing w:after="0" w:line="261" w:lineRule="auto"/>
        <w:tabs>
          <w:tab w:leader="none" w:pos="15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may delay any payment under this Agreement that the Company reasonably determines would violate Applicable Law or an applicable provision of the Plan until the earliest date the Company reasonably determines the making of the payment will not cause such a violation (in accordance with Treasury Regulation Section 1.409A-2(b)(7)(ii));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reasonably believes the delay will not result in the imposition of excise taxes under Section 409A.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the RSUs and the transactions contemplated by the Grant Notice and this Agreement. Participant is relying solely on such advisors and not on any statements or representations of the Company or any of its agents.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3.2(b), payment of the applicable withholding tax obligations with respect to the RSUs may be by any of the following, or a combination thereof, as determined by [the Company in its sole discretion / Participant or the Administrator]:</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check;</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of Shares, including Shares delivered by attestation, then-owned by Participant valued at their fair market value on the date of delivery;</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withholding Shares otherwise issuable in respect of the RSUs in satisfaction of any applicable withholding tax obligations, valued at their fair market value on the applicable date; or</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(i) – (iii) above.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304"/>
        <w:spacing w:after="0" w:line="254" w:lineRule="auto"/>
        <w:tabs>
          <w:tab w:leader="none" w:pos="1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 Participant or the Administrator] otherwise determines, payment of the withholding tax obligations with respect to the RSUs shall be by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 /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RSUs, and that the broker has been directed to deliver promptly to the Company funds sufficient to satisfy the applicable tax withholding obligations; provided, that payment of such proceeds is then made to the Company at such time as may be required by the Administrator].</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which may be so withheld or surrendered pursuant to Section 3.2(b) above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 in accordance with Section 9.5 of the Plan.</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RSUs, regardless of any action the Company or any Subsidiary or affiliate thereof or any EOR (as defined below) takes with respect to any tax withholding obligations that arise in connection with the RSUs. None of the Company, any Subsidiary or any affiliate thereof nor any EOR makes any representation or undertaking regarding the treatment of any tax withholding in connection with the grant, vesting or payment of the RSUs or the subsequent sale of Shares. The Company and its Subsidiaries and affiliates do not commit and are under no obligation to structure the RSUs to reduce or eliminate Participant’s tax liability. To the extent the Addendum is applicable to Participant, the Addendum sets out applicable tax provisions (if any) for Participant.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and the Shares subject to the RSUs are subject to adjustment, modification and termination in certain events as provided in this Agreement and the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RSUs and the Shares issuable pursuant to the RSUs shall be subject to the Company’s Policy for Recovery of Erroneously Awarded Compensation, as well as any other claw-back or recoupment policy in effect on the Grant Date or that may be adopted or maintained by the Company following the Grant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People Manager at the Company’s principal office or the People Manager’s then-current email address (currently people@foldapp.com). Any notice to be given under the terms of this Agreement to Participant must be in writing and addressed to Participant (or, if Participant is then deceased, to the Designated Beneficiary) at Participant’s last known mailing address or email address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local equivalent if Participant is located outside the United States), when delivered by a nationally recognized express shipping company or upon receipt of a facsimile transmission confirmation.</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IV.4 </w:t>
      </w:r>
      <w:r>
        <w:rPr>
          <w:rFonts w:ascii="Times New Roman" w:cs="Times New Roman" w:eastAsia="Times New Roman" w:hAnsi="Times New Roman"/>
          <w:sz w:val="18"/>
          <w:szCs w:val="18"/>
          <w:u w:val="single" w:color="auto"/>
          <w:color w:val="auto"/>
        </w:rPr>
        <w:t>Special Provisions for RSUs Granted to Participants Outside the United States</w:t>
      </w:r>
      <w:r>
        <w:rPr>
          <w:rFonts w:ascii="Times New Roman" w:cs="Times New Roman" w:eastAsia="Times New Roman" w:hAnsi="Times New Roman"/>
          <w:sz w:val="18"/>
          <w:szCs w:val="18"/>
          <w:color w:val="auto"/>
        </w:rPr>
        <w:t>. Notwithstanding any other provisions of this Agreement, if Participant performs services for the Company or any of its Subsidiaries or affiliates outside of the United States, including as an employee of a professional employer organization, employer of record or similar third party services provider (each, an “</w:t>
      </w:r>
      <w:r>
        <w:rPr>
          <w:rFonts w:ascii="Times New Roman" w:cs="Times New Roman" w:eastAsia="Times New Roman" w:hAnsi="Times New Roman"/>
          <w:sz w:val="18"/>
          <w:szCs w:val="18"/>
          <w:b w:val="1"/>
          <w:bCs w:val="1"/>
          <w:i w:val="1"/>
          <w:iCs w:val="1"/>
          <w:color w:val="auto"/>
        </w:rPr>
        <w:t>EOR</w:t>
      </w:r>
      <w:r>
        <w:rPr>
          <w:rFonts w:ascii="Times New Roman" w:cs="Times New Roman" w:eastAsia="Times New Roman" w:hAnsi="Times New Roman"/>
          <w:sz w:val="18"/>
          <w:szCs w:val="18"/>
          <w:color w:val="auto"/>
        </w:rPr>
        <w:t>”), the RSUs shall be subject to the special terms, conditions and provisions, if any, for Participant’s country of residence as set forth in the Addendum (the “</w:t>
      </w:r>
      <w:r>
        <w:rPr>
          <w:rFonts w:ascii="Times New Roman" w:cs="Times New Roman" w:eastAsia="Times New Roman" w:hAnsi="Times New Roman"/>
          <w:sz w:val="18"/>
          <w:szCs w:val="18"/>
          <w:b w:val="1"/>
          <w:bCs w:val="1"/>
          <w:i w:val="1"/>
          <w:iCs w:val="1"/>
          <w:color w:val="auto"/>
        </w:rPr>
        <w:t>Non-U.S. Provisions</w:t>
      </w:r>
      <w:r>
        <w:rPr>
          <w:rFonts w:ascii="Times New Roman" w:cs="Times New Roman" w:eastAsia="Times New Roman" w:hAnsi="Times New Roman"/>
          <w:sz w:val="18"/>
          <w:szCs w:val="18"/>
          <w:color w:val="auto"/>
        </w:rPr>
        <w:t>”). If Participant relocates to one of the countries included in the Addendum while the RSUs are outstanding, the special terms, conditions and provisions contained in the Addendum for such country shall apply to Participant, to the extent the Company determines that the application of such provisions is necessary or advisable in order to comply with local law or facilitate the administration of the Plan. The Addendum constitutes part of this Agreement. The Company reserves the right to impose other requirements on the RSUs and the Shares delivered upon settlement of the RSUs,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provided, however, that this Agreement shall not modify (and shall be subject to the terms and conditions of) any employment, consulting and/or severance agreement, including, for the avoidance of doubt, the Fold Holdings, Inc. Executive Severance Plan (if Participant is a participant thereunder), between the Company or a Subsidiary or affiliate thereof and Participant in effect as of the date a determination is to be made under this Agreement.</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IV.10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Grant Notice or this Agreement or any action taken under the Grant Notice or this Agreement, in any case is held illegal or invalid for any reason, the illegality or invalidity will not affect the remaining parts of the Grant Notice and/or this Agreement (as applicable), and the Grant Notice and/or this Agreement (as applicable) will be construed and enforced as if the illegal or invalid provisions had been excluded, and the illegal or invalid action will be null and void.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Not a Contract of Employment or Service</w:t>
      </w:r>
      <w:r>
        <w:rPr>
          <w:rFonts w:ascii="Times New Roman" w:cs="Times New Roman" w:eastAsia="Times New Roman" w:hAnsi="Times New Roman"/>
          <w:sz w:val="18"/>
          <w:szCs w:val="18"/>
          <w:color w:val="auto"/>
        </w:rPr>
        <w:t>. Nothing in the Plan, the Grant Notice or this Agreement (including the Addendum) confers upon Participant any right to continue in the employ or service of the Company, any of its Subsidiaries or affiliates or any EOR or interferes with or restricts in any way the rights of the Company, any of its Subsidiaries or affiliates or any EOR, which rights are hereby expressly reserved, to discharge or terminate the services of Participant at any time for any reason whatsoever, with or without Cause, except to the extent expressly provided otherwise in a written agreement between the Company or any of its Subsidiaries or affiliates or any EOR (as applicable) and Participant.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Grant Notice and this Agreement will be governed by and interpreted in accordance with the laws of the State of Delaware, disregarding any state’s choice-of-law principles requiring the application of a jurisdiction’s laws other than the State of Delaware.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ADDENDUM</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PROVISIONS FOR PARTICIPANTS OUTSIDE THE UNITED STATES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Addendum includes special terms and conditions applicable to Participants in the countries below. These terms and conditions are in addition to those set forth in the Agreement and the Plan and to the extent there are any inconsistencies between these terms and conditions and those set forth in the Agreement, these terms and conditions shall prevail. Any capitalized term used in this Addendum without definition shall have the meaning ascribed to such term in the Plan or the Agreement, as applicable.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Addendum also includes information relating to issues of which Participant should be aware with respect to his or her participation in the Plan. The information is based on the securities and other laws in effect in the respective countries as of April 2025. Such laws are often complex and change frequently. As a result, the Company strongly recommends that Participant not rely on the information herein as the only source of information relating to the consequences of participation in the Plan because the information may be outdated when Participant vests in the RSUs and acquires Shares, or when Participant subsequently sells Shares acquired under the Plan.</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shall be added to the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No Rights to Compensation</w:t>
      </w:r>
      <w:r>
        <w:rPr>
          <w:rFonts w:ascii="Times New Roman" w:cs="Times New Roman" w:eastAsia="Times New Roman" w:hAnsi="Times New Roman"/>
          <w:sz w:val="18"/>
          <w:szCs w:val="18"/>
          <w:color w:val="auto"/>
        </w:rPr>
        <w:t>. Nothing in this Agreement or in the Plan shall give Participant any rights to compensation or damages including, without limitation, for any loss or potential loss that Participant may suffer by reason of the forfeiture of the RSUs or Shares as a result of the termination of the Plan or the Agreement or the lapsing of the RSUs as a result of Participant’s Termination of Service, including where any Termination of Service is subsequently held to be wrongful or unfair.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References to a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when used in the Plan or in the Agreement shall be in a form prescribed by the Company or Participant’s Employer (as defined below) and shall be in full and final settlement of all and any rights and claims that Participant may have against the Company and its Subsidiaries and affiliates (and any EOR) arising out of Participant’s Termination of Service (including both contractual and statutory employment claims).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Special Tax Consequences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964"/>
        <w:spacing w:after="0" w:line="254" w:lineRule="auto"/>
        <w:tabs>
          <w:tab w:leader="none" w:pos="15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“applicable withholding tax obligations” and any similar phrases relating to tax obligations when used in the Plan or in the Agreement shall include income tax, employee’s National Insurance contributions and (at the discretion of the Company and to the extent permitted by law) employer’s National Insurance contributions or other similar taxes arising in any jurisdiction (any, a “</w:t>
      </w:r>
      <w:r>
        <w:rPr>
          <w:rFonts w:ascii="Times New Roman" w:cs="Times New Roman" w:eastAsia="Times New Roman" w:hAnsi="Times New Roman"/>
          <w:sz w:val="18"/>
          <w:szCs w:val="18"/>
          <w:b w:val="1"/>
          <w:bCs w:val="1"/>
          <w:i w:val="1"/>
          <w:iCs w:val="1"/>
          <w:color w:val="auto"/>
        </w:rPr>
        <w:t>Tax Liability</w:t>
      </w:r>
      <w:r>
        <w:rPr>
          <w:rFonts w:ascii="Times New Roman" w:cs="Times New Roman" w:eastAsia="Times New Roman" w:hAnsi="Times New Roman"/>
          <w:sz w:val="18"/>
          <w:szCs w:val="18"/>
          <w:color w:val="auto"/>
        </w:rPr>
        <w:t>”) that are attributable to (i) the grant or vesting of, or any benefit derived by Participant from, the RSUs or the Shares acquired on settlement of the RSUs; (ii) the transfer or issuance of Shares to Participant upon settlement of the RSUs; (iii) any restrictions applicable to any Shares held by Participant ceasing to apply thereto; or (iv) the disposal of any Shares (each event referred to as a “</w:t>
      </w:r>
      <w:r>
        <w:rPr>
          <w:rFonts w:ascii="Times New Roman" w:cs="Times New Roman" w:eastAsia="Times New Roman" w:hAnsi="Times New Roman"/>
          <w:sz w:val="18"/>
          <w:szCs w:val="18"/>
          <w:b w:val="1"/>
          <w:bCs w:val="1"/>
          <w:i w:val="1"/>
          <w:iCs w:val="1"/>
          <w:color w:val="auto"/>
        </w:rPr>
        <w:t>Taxable Event</w:t>
      </w:r>
      <w:r>
        <w:rPr>
          <w:rFonts w:ascii="Times New Roman" w:cs="Times New Roman" w:eastAsia="Times New Roman" w:hAnsi="Times New Roman"/>
          <w:sz w:val="18"/>
          <w:szCs w:val="18"/>
          <w:color w:val="auto"/>
        </w:rPr>
        <w:t>”). Participant will indemnify and keep indemnified the Company and his or her employing company (including an EOR)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from and against any liability for or obligation to pay any Tax Liability that arises in consequence of any Taxable Event.</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left="340" w:firstLine="964"/>
        <w:spacing w:after="0" w:line="261" w:lineRule="auto"/>
        <w:tabs>
          <w:tab w:leader="none" w:pos="15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undertakes that, upon request by the Company, he or she will (on or within 14 days of acquiring the Shares) join with his or her Employer in electing, pursuant to Section 431(1) of the Income Tax (Earnings and Pensions) Act 2003 (“</w:t>
      </w:r>
      <w:r>
        <w:rPr>
          <w:rFonts w:ascii="Times New Roman" w:cs="Times New Roman" w:eastAsia="Times New Roman" w:hAnsi="Times New Roman"/>
          <w:sz w:val="18"/>
          <w:szCs w:val="18"/>
          <w:b w:val="1"/>
          <w:bCs w:val="1"/>
          <w:i w:val="1"/>
          <w:iCs w:val="1"/>
          <w:color w:val="auto"/>
        </w:rPr>
        <w:t>ITEPA</w:t>
      </w:r>
      <w:r>
        <w:rPr>
          <w:rFonts w:ascii="Times New Roman" w:cs="Times New Roman" w:eastAsia="Times New Roman" w:hAnsi="Times New Roman"/>
          <w:sz w:val="18"/>
          <w:szCs w:val="18"/>
          <w:color w:val="auto"/>
        </w:rPr>
        <w:t>”) that, for relevant tax purposes, the market value of the Shares acquired on settlement of the RSUs on any occasion will be calculated as if the Shares were not restricted and Sections 425 to 430 (inclusive) of ITEPA are not to apply to such Shares.</w:t>
      </w:r>
    </w:p>
    <w:p>
      <w:pPr>
        <w:spacing w:after="0" w:line="179" w:lineRule="exact"/>
        <w:rPr>
          <w:rFonts w:ascii="Times New Roman" w:cs="Times New Roman" w:eastAsia="Times New Roman" w:hAnsi="Times New Roman"/>
          <w:sz w:val="18"/>
          <w:szCs w:val="18"/>
          <w:color w:val="auto"/>
        </w:rPr>
      </w:pPr>
    </w:p>
    <w:p>
      <w:pPr>
        <w:jc w:val="both"/>
        <w:ind w:left="340" w:firstLine="964"/>
        <w:spacing w:after="0" w:line="253" w:lineRule="auto"/>
        <w:tabs>
          <w:tab w:leader="none" w:pos="15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that if Participant does not pay, or his/her Employer or the Company does not withhold from Participant, the full amount of any income tax arising in respect of any Taxable Event (and to the extent such income tax pertains to a “notional payment” as defined in Section 222(1)(a) of ITEPA) within ninety (90) days after the end of the tax year in which the notional payment is treated as having been made (for the purposes of Section 222 of ITEPA), or such other period specified in Section 222(1)(c) of ITEPA (the “</w:t>
      </w:r>
      <w:r>
        <w:rPr>
          <w:rFonts w:ascii="Times New Roman" w:cs="Times New Roman" w:eastAsia="Times New Roman" w:hAnsi="Times New Roman"/>
          <w:sz w:val="18"/>
          <w:szCs w:val="18"/>
          <w:b w:val="1"/>
          <w:bCs w:val="1"/>
          <w:i w:val="1"/>
          <w:iCs w:val="1"/>
          <w:color w:val="auto"/>
        </w:rPr>
        <w:t>Relevant Period</w:t>
      </w:r>
      <w:r>
        <w:rPr>
          <w:rFonts w:ascii="Times New Roman" w:cs="Times New Roman" w:eastAsia="Times New Roman" w:hAnsi="Times New Roman"/>
          <w:sz w:val="18"/>
          <w:szCs w:val="18"/>
          <w:color w:val="auto"/>
        </w:rPr>
        <w:t>”), then the amount of income tax and employee’s National Insurance contributions that should have been withheld in respect of the notional payment shall constitute a loan owed by Participant to the Employer, effective from the end of the Relevant Period. Participant agrees that the loan will bear interest at His Majesty’s Revenue and Customs’ official rate and will be immediately due and repayable by Participant, and the Company and/or the Employer may recover it at any time thereafter by: (i) withholding the funds from salary, bonus or any other funds due to Participant by the Employer; (ii) withholding Shares otherwise issuable upon settlement of the RSUs or all or a portion of the cash proceeds otherwise due to Participant from the sale of Shares; or (iii) demanding cash or a cheque from Participant. Participant also authorizes the Company to delay the issuance of any Shares to Participant unless and until the loan is repaid in full.</w:t>
      </w:r>
    </w:p>
    <w:p>
      <w:pPr>
        <w:spacing w:after="0" w:line="191" w:lineRule="exact"/>
        <w:rPr>
          <w:rFonts w:ascii="Times New Roman" w:cs="Times New Roman" w:eastAsia="Times New Roman" w:hAnsi="Times New Roman"/>
          <w:sz w:val="18"/>
          <w:szCs w:val="18"/>
          <w:color w:val="auto"/>
        </w:rPr>
      </w:pPr>
    </w:p>
    <w:p>
      <w:pPr>
        <w:jc w:val="both"/>
        <w:ind w:left="340" w:firstLine="964"/>
        <w:spacing w:after="0" w:line="254" w:lineRule="auto"/>
        <w:tabs>
          <w:tab w:leader="none" w:pos="15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Participant is an executive officer or director (within the meaning of Section 13(k) of the Exchange Act), the terms of the immediately foregoing provision will not apply. In the event that Participant is an executive officer or director and the full amount of any income tax arising in respect of any Taxable Event (to the extent such income tax pertains to a “notional payment” as defined in Section 222(1)(a) of ITEPA) is not collected from or paid by Participant within ninety (90) days after the end of the tax year in which the notional payment is treated as having been made (for the purposes of Section 222 of ITEPA), or such other period specified in Section 222(1)(c) of ITEPA, the amount of any uncollected income tax may constitute a benefit to Participant on which additional income tax and National Insurance contributions may be payable. Participant acknowledges that the Company or the Employer may recover any such additional income tax and (to the extent permitted by law) National Insurance contributions at any time thereafter by any of the means referred to in this Agreement or the Plan.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The Company, its Subsidiaries and its affiliates will collect and process information relating to Participant in accordance with the data privacy notice which is available on the Company’s intranet.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Notwithstanding the definition in the Plan, references to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when used in the Plan or in the Agreement shall mean that Participant is unable to engage in any substantial gainful activity by reason of any medically determinable physical or mental impairment that can be expected to have a substantial and long-term negative effect on Participant’s ability to carry out normal daily activities (as determined by the Administrator in its sole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Fold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tabs>
          <w:tab w:leader="none" w:pos="1780" w:val="left"/>
        </w:tabs>
        <w:rPr>
          <w:sz w:val="20"/>
          <w:szCs w:val="20"/>
          <w:color w:val="auto"/>
        </w:rPr>
      </w:pPr>
      <w:r>
        <w:rPr>
          <w:rFonts w:ascii="Times New Roman" w:cs="Times New Roman" w:eastAsia="Times New Roman" w:hAnsi="Times New Roman"/>
          <w:sz w:val="17"/>
          <w:szCs w:val="17"/>
          <w:color w:val="auto"/>
        </w:rPr>
        <w:t>Equity</w:t>
      </w:r>
      <w:r>
        <w:rPr>
          <w:sz w:val="20"/>
          <w:szCs w:val="20"/>
          <w:color w:val="auto"/>
        </w:rPr>
        <w:tab/>
      </w:r>
      <w:r>
        <w:rPr>
          <w:rFonts w:ascii="Times New Roman" w:cs="Times New Roman" w:eastAsia="Times New Roman" w:hAnsi="Times New Roman"/>
          <w:sz w:val="17"/>
          <w:szCs w:val="17"/>
          <w:color w:val="auto"/>
        </w:rPr>
        <w:t>Common stock, par value $0.0001</w:t>
      </w:r>
    </w:p>
    <w:p>
      <w:pPr>
        <w:spacing w:after="0" w:line="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per share, reserved for future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issuance under the Registrant's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2025 Incentive Award Plan</w:t>
      </w:r>
    </w:p>
    <w:p>
      <w:pPr>
        <w:spacing w:after="0" w:line="9"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7"/>
          <w:szCs w:val="17"/>
          <w:color w:val="auto"/>
        </w:rPr>
        <w:t>Equity</w:t>
      </w:r>
      <w:r>
        <w:rPr>
          <w:sz w:val="20"/>
          <w:szCs w:val="20"/>
          <w:color w:val="auto"/>
        </w:rPr>
        <w:tab/>
      </w:r>
      <w:r>
        <w:rPr>
          <w:rFonts w:ascii="Times New Roman" w:cs="Times New Roman" w:eastAsia="Times New Roman" w:hAnsi="Times New Roman"/>
          <w:sz w:val="17"/>
          <w:szCs w:val="17"/>
          <w:color w:val="auto"/>
        </w:rPr>
        <w:t>Common stock, par value $0.0001</w:t>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per share, reserved for future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issuance under the Registrant's</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2025 Employee Stock Purchase</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5"/>
              </w:rPr>
              <w:t>(1)</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2,420,963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2,324,124.48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0.0001381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320.96</w:t>
            </w:r>
          </w:p>
        </w:tc>
      </w:tr>
      <w:tr>
        <w:trPr>
          <w:trHeight w:val="864"/>
        </w:trPr>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5"/>
              </w:rPr>
              <w:t>(2)</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484,193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464,825.28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0.0001381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r>
    </w:tbl>
    <w:p>
      <w:pPr>
        <w:spacing w:after="0" w:line="924" w:lineRule="exact"/>
        <w:rPr>
          <w:sz w:val="20"/>
          <w:szCs w:val="20"/>
          <w:color w:val="auto"/>
        </w:rPr>
      </w:pPr>
    </w:p>
    <w:p>
      <w:pPr>
        <w:sectPr>
          <w:pgSz w:w="11900" w:h="16838" w:orient="portrait"/>
          <w:cols w:equalWidth="0" w:num="2">
            <w:col w:w="4260" w:space="400"/>
            <w:col w:w="6580"/>
          </w:cols>
          <w:pgMar w:left="320" w:top="108" w:right="339" w:bottom="1440" w:gutter="0" w:footer="0" w:header="0"/>
          <w:type w:val="continuous"/>
        </w:sectPr>
      </w:pPr>
    </w:p>
    <w:tbl>
      <w:tblPr>
        <w:tblLayout w:type="fixed"/>
        <w:tblInd w:w="6360" w:type="dxa"/>
        <w:tblCellMar>
          <w:top w:w="0" w:type="dxa"/>
          <w:left w:w="0" w:type="dxa"/>
          <w:bottom w:w="0" w:type="dxa"/>
          <w:right w:w="0" w:type="dxa"/>
        </w:tblCellMar>
      </w:tblPr>
      <w:tr>
        <w:trPr>
          <w:trHeight w:val="211"/>
        </w:trPr>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2,788,949.76</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385.15</w:t>
            </w:r>
          </w:p>
        </w:tc>
      </w:tr>
      <w:tr>
        <w:trPr>
          <w:trHeight w:val="234"/>
        </w:trPr>
        <w:tc>
          <w:tcPr>
            <w:tcW w:w="408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Total Fee Offsets:</w:t>
            </w: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08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Net Fee Due:</w:t>
            </w: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385.15</w:t>
            </w:r>
          </w:p>
        </w:tc>
        <w:tc>
          <w:tcPr>
            <w:tcW w:w="20" w:type="dxa"/>
            <w:vAlign w:val="bottom"/>
            <w:tcBorders>
              <w:bottom w:val="single" w:sz="8" w:color="auto"/>
            </w:tcBorders>
          </w:tcPr>
          <w:p>
            <w:pPr>
              <w:spacing w:after="0"/>
              <w:rPr>
                <w:sz w:val="18"/>
                <w:szCs w:val="18"/>
                <w:color w:val="auto"/>
              </w:rPr>
            </w:pPr>
          </w:p>
        </w:tc>
      </w:tr>
      <w:tr>
        <w:trPr>
          <w:trHeight w:val="21"/>
        </w:trPr>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8"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(the “Registration Statement”) shall also cover any additional shares of Fold Holding, Inc.’s (the “Registrant”) common stock, par value $0.0001 per share (the “Common Stock”), that become issuable under the Fold Holdings, Inc. 2025 Incentive Award Plan (the “Incentive Plan”) and the Fold Holdings, Inc. 2025 Employee Stock Purchase Plan (the “ESPP”) by reason of any stock dividend, stock split, recapitalization or similar transaction effected without the Registrant’s receipt of consideration or conversion of the Registrant’s Common Stock which would increase the number of outstanding shares of Common Stock.</w:t>
      </w:r>
    </w:p>
    <w:p>
      <w:pPr>
        <w:spacing w:after="0" w:line="183"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under the Registrant’s Incentive Plan as a result of the annual evergreen increase under the Incentive Plan.</w:t>
      </w:r>
    </w:p>
    <w:p>
      <w:pPr>
        <w:spacing w:after="0" w:line="161" w:lineRule="exact"/>
        <w:rPr>
          <w:rFonts w:ascii="Times New Roman" w:cs="Times New Roman" w:eastAsia="Times New Roman" w:hAnsi="Times New Roman"/>
          <w:sz w:val="18"/>
          <w:szCs w:val="18"/>
          <w:color w:val="auto"/>
        </w:rPr>
      </w:pPr>
    </w:p>
    <w:p>
      <w:pPr>
        <w:jc w:val="both"/>
        <w:ind w:lef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and Rule 457(h) under the Securities Act, and solely for the purpose of calculating the registration fee, the proposed maximum offering price per share is $0.96, which is the average of the high and low prices of shares of Common Stock on The Nasdaq Capital Market (“Nasdaq”) on June 1, 2026 (such date being within five business days of the date that this Registration Statement was filed with the U.S. Securities and Exchange Commission (the “Commission”).</w:t>
      </w:r>
    </w:p>
    <w:p>
      <w:pPr>
        <w:spacing w:after="0" w:line="71" w:lineRule="exact"/>
        <w:rPr>
          <w:rFonts w:ascii="Times New Roman" w:cs="Times New Roman" w:eastAsia="Times New Roman" w:hAnsi="Times New Roman"/>
          <w:sz w:val="18"/>
          <w:szCs w:val="18"/>
          <w:color w:val="auto"/>
        </w:rPr>
      </w:pPr>
    </w:p>
    <w:p>
      <w:pPr>
        <w:jc w:val="both"/>
        <w:ind w:left="360" w:hanging="292"/>
        <w:spacing w:after="0" w:line="258"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(the “Registration Statement”) shall also cover any additional shares of Fold Holding, Inc.’s (the “Registrant”) common stock, par value $0.0001 per share (the “Common Stock”), that become issuable under the Fold Holdings, Inc. 2025 Incentive Award Plan (the “Incentive Plan”) and the Fold Holdings, Inc. 2025 Employee Stock Purchase Plan (the “ESPP”) by reason of any stock dividend, stock split, recapitalization or similar transaction effected without the Registrant’s receipt of consideration or conversion of the Registrant’s Common Stock which would increase the number of outstanding shares of Common Stock.</w:t>
      </w:r>
    </w:p>
    <w:p>
      <w:pPr>
        <w:spacing w:after="0" w:line="183"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under the Registrant’s ESPP as a result of the annual evergreen increase under the ESPP.</w:t>
      </w:r>
    </w:p>
    <w:p>
      <w:pPr>
        <w:spacing w:after="0" w:line="22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and Rule 457(h) under the Securities Act, and solely for the purpose of calculating the registration fee, the proposed maximum offering price per share is $0.96, the average of the high and low prices of shares of Common Stock on Nasdaq on June 1, 2026 (such date being within five business days of the date that this Registration Statement was filed with the Commission).</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lvl w:ilvl="1">
      <w:lvlJc w:val="left"/>
      <w:lvlText w:val="(%2)"/>
      <w:numFmt w:val="lowerRoman"/>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lvl w:ilvl="1">
      <w:lvlJc w:val="left"/>
      <w:lvlText w:val="(%2)"/>
      <w:numFmt w:val="lowerRoman"/>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jpeg"/><Relationship Id="rId34" Type="http://schemas.openxmlformats.org/officeDocument/2006/relationships/image" Target="media/image15.png"/><Relationship Id="rId35" Type="http://schemas.openxmlformats.org/officeDocument/2006/relationships/image" Target="media/image16.jpeg"/><Relationship Id="rId36" Type="http://schemas.openxmlformats.org/officeDocument/2006/relationships/image" Target="media/image17.jpe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18" Type="http://schemas.openxmlformats.org/officeDocument/2006/relationships/hyperlink" Target="https://www.sec.gov/ix?doc=/Archives/edgar/data/1889123/000119312526110808/fld-20251231.htm" TargetMode="External"/><Relationship Id="rId19" Type="http://schemas.openxmlformats.org/officeDocument/2006/relationships/hyperlink" Target="https://www.sec.gov/ix?doc=/Archives/edgar/data/1889123/000119312526147728/fld-20260408.htm" TargetMode="External"/><Relationship Id="rId20" Type="http://schemas.openxmlformats.org/officeDocument/2006/relationships/hyperlink" Target="https://www.sec.gov/ix?doc=/Archives/edgar/data/1889123/000119312526219476/fld-20260331.htm" TargetMode="External"/><Relationship Id="rId21" Type="http://schemas.openxmlformats.org/officeDocument/2006/relationships/hyperlink" Target="https://www.sec.gov/ix?doc=/Archives/edgar/data/1889123/000119312526082532/fld-20260226.htm" TargetMode="External"/><Relationship Id="rId22" Type="http://schemas.openxmlformats.org/officeDocument/2006/relationships/hyperlink" Target="https://www.sec.gov/ix?doc=/Archives/edgar/data/1889123/000119312526232684/fld-20260519.htm" TargetMode="External"/><Relationship Id="rId23" Type="http://schemas.openxmlformats.org/officeDocument/2006/relationships/hyperlink" Target="https://www.sec.gov/Archives/edgar/data/1889123/000119312526110808/fld-ex4_6.htm" TargetMode="External"/><Relationship Id="rId25" Type="http://schemas.openxmlformats.org/officeDocument/2006/relationships/hyperlink" Target="https://www.sec.gov/Archives/edgar/data/1889123/000121390025014354/ea023010901ex3-1_fold.htm" TargetMode="External"/><Relationship Id="rId26" Type="http://schemas.openxmlformats.org/officeDocument/2006/relationships/hyperlink" Target="https://www.sec.gov/Archives/edgar/data/1889123/000121390025014354/ea023010901ex3-2_fold.htm" TargetMode="External"/><Relationship Id="rId27" Type="http://schemas.openxmlformats.org/officeDocument/2006/relationships/hyperlink" Target="https://www.sec.gov/Archives/edgar/data/1787441/000121390025003167/ea021254307ex4-6_ftac.htm" TargetMode="External"/><Relationship Id="rId28" Type="http://schemas.openxmlformats.org/officeDocument/2006/relationships/hyperlink" Target="https://www.sec.gov/Archives/edgar/data/1889123/000121390025014354/ea023010901ex10-4_fold.htm" TargetMode="External"/><Relationship Id="rId29" Type="http://schemas.openxmlformats.org/officeDocument/2006/relationships/hyperlink" Target="https://www.sec.gov/Archives/edgar/data/1889123/000121390025014354/ea023010901ex10-5_fold.htm" TargetMode="External"/><Relationship Id="rId30" Type="http://schemas.openxmlformats.org/officeDocument/2006/relationships/hyperlink" Target="https://www.sec.gov/Archives/edgar/data/1889123/000121390025034628/ea023828301ex99-3_f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2026-06-04T15:18:43Z</dcterms:created>
  <dcterms:modified xsi:type="dcterms:W3CDTF">2026-06-04T15:18:43Z</dcterms:modified>
</cp:coreProperties>
</file>