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730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7308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Reeves William Brian Poppic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2942 NORTH 24TH ST, SUITE 115, #42035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Fold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65"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34"/>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6"/>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85016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06/01/2026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6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0000FF"/>
                <w:w w:val="93"/>
              </w:rPr>
              <w:t>1,075</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5,467,268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06/01/2026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6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0000FF"/>
                <w:w w:val="94"/>
              </w:rPr>
              <w:t>11,548</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34"/>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5,478,816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ind w:left="173"/>
              <w:spacing w:after="0"/>
              <w:rPr>
                <w:sz w:val="20"/>
                <w:szCs w:val="20"/>
                <w:color w:val="auto"/>
              </w:rPr>
            </w:pPr>
            <w:r>
              <w:rPr>
                <w:rFonts w:ascii="Times New Roman" w:cs="Times New Roman" w:eastAsia="Times New Roman" w:hAnsi="Times New Roman"/>
                <w:sz w:val="17"/>
                <w:szCs w:val="17"/>
                <w:color w:val="0000FF"/>
                <w:w w:val="93"/>
              </w:rPr>
              <w:t>5,158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5,473,658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06/02/2026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ind w:left="173"/>
              <w:spacing w:after="0"/>
              <w:rPr>
                <w:sz w:val="20"/>
                <w:szCs w:val="20"/>
                <w:color w:val="auto"/>
              </w:rPr>
            </w:pPr>
            <w:r>
              <w:rPr>
                <w:rFonts w:ascii="Times New Roman" w:cs="Times New Roman" w:eastAsia="Times New Roman" w:hAnsi="Times New Roman"/>
                <w:sz w:val="17"/>
                <w:szCs w:val="17"/>
                <w:color w:val="0000FF"/>
                <w:w w:val="93"/>
              </w:rPr>
              <w:t>481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5,473,177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73"/>
              <w:spacing w:after="0" w:line="129"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1,075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1,075</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4,299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11,548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right"/>
              <w:ind w:right="41"/>
              <w:spacing w:after="0" w:line="129" w:lineRule="exact"/>
              <w:rPr>
                <w:sz w:val="20"/>
                <w:szCs w:val="20"/>
                <w:color w:val="auto"/>
              </w:rPr>
            </w:pPr>
            <w:r>
              <w:rPr>
                <w:rFonts w:ascii="Times New Roman" w:cs="Times New Roman" w:eastAsia="Times New Roman" w:hAnsi="Times New Roman"/>
                <w:sz w:val="13"/>
                <w:szCs w:val="13"/>
                <w:color w:val="0000FF"/>
              </w:rPr>
              <w:t>11,548</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69,290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Mr. Reeves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Reeves.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October 1, 2023 and thereafter in 48 equal monthly installments, subject to Mr. Reeves' continued service through the applicable vesting date and a liquidity event vesting condition. The liquidity event vesting condition was deemed met upon the merger of Legacy Fold, Issuer and FTAC EMLD Merger Sub Inc. on February 14, 2025 (the "Merger").</w:t>
      </w:r>
    </w:p>
    <w:p>
      <w:pPr>
        <w:spacing w:after="0" w:line="25" w:lineRule="exact"/>
        <w:rPr>
          <w:rFonts w:ascii="Times New Roman" w:cs="Times New Roman" w:eastAsia="Times New Roman" w:hAnsi="Times New Roman"/>
          <w:sz w:val="13"/>
          <w:szCs w:val="13"/>
          <w:color w:val="008000"/>
        </w:rPr>
      </w:pPr>
    </w:p>
    <w:p>
      <w:pPr>
        <w:ind w:left="40" w:right="1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p>
      <w:pPr>
        <w:spacing w:after="0" w:line="26"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one-fourth of the underlying shares beginning on December 1, 2023 and thereafter in 48 equal monthly installments, subject to Mr. Reeves' continued service through the applicable vesting date and a liquidity event vesting condition. The liquidity event vesting condition was deemed met upon the Merger.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 (incorporated by reference to Exhibit 24 to the Reporting Person's Form 4 filed on February 20, 2026).</w:t>
      </w:r>
    </w:p>
    <w:p>
      <w:pPr>
        <w:spacing w:after="0" w:line="5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Audrey Bartosh,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2057455" TargetMode="External"/><Relationship Id="rId14" Type="http://schemas.openxmlformats.org/officeDocument/2006/relationships/hyperlink" Target="http://www.sec.gov/cgi-bin/browse-edgar?action=getcompany&amp;CIK=000188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2026-06-03T20:31:38Z</dcterms:created>
  <dcterms:modified xsi:type="dcterms:W3CDTF">2026-06-03T20:31:38Z</dcterms:modified>
</cp:coreProperties>
</file>