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ld-20260630.htm"/>
      <w:bookmarkStart w:id="1" w:name="ksfld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001-41168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Fold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3586"/>
        <w:gridCol w:w="1246"/>
      </w:tblGrid>
      <w:tr>
        <w:trPr/>
        <w:tc>
          <w:tcPr>
            <w:tcW w:w="35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35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5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2942 North 24th Street</w:t>
            </w:r>
            <w:r>
              <w:rPr>
                <w:rFonts w:ascii="Times New Roman" w:hAnsi="Times New Roman"/>
                <w:color w:val="000000"/>
                <w:sz w:val="20"/>
              </w:rPr>
              <w:t xml:space="preserve"> </w:t>
            </w:r>
            <w:r>
              <w:rPr>
                <w:rFonts w:ascii="Times New Roman" w:hAnsi="Times New Roman"/>
                <w:b/>
                <w:color w:val="000000"/>
                <w:sz w:val="20"/>
              </w:rPr>
              <w:t>Suite 115, #42035</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Phoenix, AZ</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(866) 365-3277</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4"/>
        <w:gridCol w:w="146"/>
        <w:gridCol w:w="812"/>
        <w:gridCol w:w="146"/>
        <w:gridCol w:w="2727"/>
      </w:tblGrid>
      <w:tr>
        <w:trPr/>
        <w:tc>
          <w:tcPr>
            <w:tcW w:w="6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6374"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pPr>
            <w:r>
              <w:rPr/>
              <w:t> </w:t>
            </w:r>
          </w:p>
        </w:tc>
        <w:tc>
          <w:tcPr>
            <w:tcW w:w="812" w:type="dxa"/>
            <w:tcBorders>
              <w:bottom w:val="single" w:sz="4" w:space="0" w:color="000000"/>
            </w:tcBorders>
            <w:tcMar>
              <w:top w:w="0" w:type="dxa"/>
              <w:left w:w="0" w:type="dxa"/>
              <w:bottom w:w="72"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pPr>
            <w:r>
              <w:rPr/>
              <w:t> </w:t>
            </w:r>
          </w:p>
        </w:tc>
        <w:tc>
          <w:tcPr>
            <w:tcW w:w="2727"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37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Common stock, par value $0.0001 per share</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each whole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FLD</w:t>
            </w:r>
            <w:r>
              <w:rPr>
                <w:rFonts w:ascii="Times New Roman" w:hAnsi="Times New Roman"/>
                <w:color w:val="000000"/>
                <w:sz w:val="20"/>
              </w:rPr>
              <w:t xml:space="preserve"> </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FLDDW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27"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Nasdaq</w:t>
            </w:r>
            <w:r>
              <w:rPr>
                <w:rFonts w:ascii="Times New Roman" w:hAnsi="Times New Roman"/>
                <w:color w:val="000000"/>
                <w:sz w:val="20"/>
              </w:rPr>
              <w:t> </w:t>
            </w:r>
            <w:r>
              <w:rPr>
                <w:rFonts w:ascii="Times New Roman" w:hAnsi="Times New Roman"/>
                <w:b/>
                <w:color w:val="000000"/>
                <w:sz w:val="18"/>
              </w:rPr>
              <w:t>Capital Market</w:t>
            </w:r>
          </w:p>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color w:val="000000"/>
                <w:sz w:val="18"/>
              </w:rPr>
              <w:t>Nasdaq</w:t>
            </w:r>
            <w:r>
              <w:rPr>
                <w:rFonts w:ascii="Times New Roman" w:hAnsi="Times New Roman"/>
                <w:color w:val="000000"/>
                <w:sz w:val="20"/>
              </w:rPr>
              <w:t> </w:t>
            </w:r>
            <w:r>
              <w:rPr>
                <w:rFonts w:ascii="Times New Roman" w:hAnsi="Times New Roman"/>
                <w:b/>
                <w:color w:val="000000"/>
                <w:sz w:val="18"/>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As of August 9, 2026, the registrant had 55,077,187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financial_statements">
              <w:r>
                <w:rPr>
                  <w:rStyle w:val="InternetLink"/>
                  <w:rFonts w:ascii="Times New Roman" w:hAnsi="Times New Roman"/>
                  <w:color w:val="0000FF"/>
                  <w:sz w:val="20"/>
                  <w:u w:val="single"/>
                </w:rPr>
                <w:t>Unaudited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stockholders_equity">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s_notes">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isclosures_about_market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center"/>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We own or have rights to various trademarks, service marks and trade names that we use in connection with the operation of our business, which include the Company’s “F” logo mark, “FOLD”, “FOLD CREDIT CARD”, “FOLD BITCOIN CREDIT CARD”, “FOLD BITCOIN REWARDS CREDIT CARD”, “FOLD DEBIT CARD”, “FOLD BITCOIN DEBIT CARD”, “FOLD BITCOIN REWARDS DEBIT CARD”, “FOLD GIFT CARD”, and “FOLD BITCOIN GIFT CARD”. This document may also include trademarks, service marks and tradenames that are the property of other organizations. Our use or display of any third party’s trademarks, service marks, trade names or products in this document is not intended to, and does not imply, a relationship with, endorsement of or sponsorship by us of, those third parties. Solely for convenience, trademarks, service marks and tradenames referred to in this document may appear without the </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13"/>
        </w:rPr>
        <w:t>SM</w:t>
      </w:r>
      <w:r>
        <w:rPr>
          <w:rFonts w:ascii="Times New Roman" w:hAnsi="Times New Roman"/>
          <w:color w:val="000000"/>
          <w:sz w:val="20"/>
        </w:rPr>
        <w:t xml:space="preserve"> and  symbols, but those references are not intended to indicate, in any way, that we will not assert, to the fullest extent under applicable law, our rights or that the applicable owner will not assert its rights, to these trademarks, service marks and tradenames.</w:t>
      </w:r>
    </w:p>
    <w:p>
      <w:pPr>
        <w:pStyle w:val="TextBody"/>
        <w:bidi w:val="0"/>
        <w:spacing w:before="120" w:after="120"/>
        <w:jc w:val="center"/>
        <w:rPr>
          <w:rFonts w:ascii="Times New Roman" w:hAnsi="Times New Roman"/>
          <w:b/>
          <w:color w:val="000000"/>
          <w:sz w:val="20"/>
        </w:rPr>
      </w:pPr>
      <w:bookmarkStart w:id="2" w:name="cautionary_note"/>
      <w:bookmarkEnd w:id="2"/>
      <w:r>
        <w:rPr>
          <w:rFonts w:ascii="Times New Roman" w:hAnsi="Times New Roman"/>
          <w:b/>
          <w:color w:val="000000"/>
          <w:sz w:val="20"/>
        </w:rPr>
        <w:t>CAUTIONARY NOTE REGARDING FORWARD-LOOKING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This Quarterly Report on Form 10-Q (this “Quarterly Report”) of Fold Holdings, Inc. (“Fold,” the “Company,” “we,” “our,” and “us”) contains forward-looking statements within the meaning of the federal securities laws.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In some cases, you can identify forward-looking statements because they contain words such as “anticipate,” “believe,” “contemplate,” “continue,” “could,” “estimate,” “expect,” “intend,” “may,” “plan,” “approximately,” “potential,” “predict,” “project,” “should,” “target,” “will” or “would” or the negative of these words or other similar terms or expressions.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that we will not be able to regain compliance with Nasdaq Listing Rule 5550(a)(2) or other listing requirements of Nasdaq or, even if we do, that our minimum bid price will remain over the minimum bid price requirement of The Nasdaq Capital Market following regaining compliance;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that any option that we may pursue in order to regain compliance with Nasdaq Listing Rule 5550(a)(2), such as a reverse stock split, could result in a significant devaluation of our market capitalization or the trading price of our Common Stock;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our financial and business performance, including financial projections and business metrics and any underlying assumptions thereunder;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valuation of bitcoin, which may affect our operating results and our ability to obtain cash funding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upon third-party partners, including reliance on only one custodian, BitGo (as defined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strategy, future operations, financial position, estimated revenues and losses, projected costs, prospects and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market acceptance and success of our business model;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as the crypto-economy develops;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still-developing and uncertain regulatory landscape;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scale and develop new products, such as the Fold Credit Card, in a cost-effective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and projections relating to our competitors and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capital requirements and sources and uses of cash for product development and other purposes;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in retaining or recruiting, or changes required in, officers, key employees or directors; the size of the addressable markets for our products and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of geopolitical, macroeconomic, supply chain and market conditions, including tariffs, inflation, the ongoing war between Russia and Ukraine, the war among Israel, Iran and the United States, and the global response to such hostilities, which may negatively affect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described in this Quarterly Report, including in “Item 1A - Risk Factors”;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those factors in the other documents filed by Fold from time to time with the U.S. Securities and Exchange Commission (“SEC”).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discussion in this Quarterly Report should be read in conjunction with the condensed financial statements and notes thereto included in Item 1 of this Quarterly Report. Further, when reading this Quarterly Report, you should keep in mind those Risk Factors disclosed in the Company's Annual Report on Form 10-K for the year ended December 31, 2025 filed on March 17, 2026.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pStyle w:val="TextBody"/>
        <w:bidi w:val="0"/>
        <w:spacing w:before="120" w:after="120"/>
        <w:jc w:val="both"/>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left"/>
        <w:rPr>
          <w:rFonts w:ascii="Times New Roman" w:hAnsi="Times New Roman"/>
          <w:b/>
          <w:color w:val="000000"/>
          <w:sz w:val="18"/>
        </w:rPr>
      </w:pPr>
      <w:bookmarkStart w:id="3" w:name="part_i_financial_information"/>
      <w:bookmarkEnd w:id="3"/>
      <w:r>
        <w:rPr>
          <w:rFonts w:ascii="Times New Roman" w:hAnsi="Times New Roman"/>
          <w:b/>
          <w:color w:val="000000"/>
          <w:sz w:val="18"/>
        </w:rPr>
        <w:t>PART I. FINANCIAL INFORMATION</w:t>
      </w:r>
    </w:p>
    <w:p>
      <w:pPr>
        <w:pStyle w:val="TextBody"/>
        <w:bidi w:val="0"/>
        <w:jc w:val="left"/>
        <w:rPr>
          <w:rFonts w:ascii="Times New Roman" w:hAnsi="Times New Roman"/>
          <w:b/>
          <w:color w:val="000000"/>
          <w:sz w:val="18"/>
          <w:u w:val="single"/>
        </w:rPr>
      </w:pPr>
      <w:bookmarkStart w:id="4" w:name="unaudited_financial_statements"/>
      <w:bookmarkEnd w:id="4"/>
      <w:r>
        <w:rPr>
          <w:rFonts w:ascii="Times New Roman" w:hAnsi="Times New Roman"/>
          <w:b/>
          <w:color w:val="000000"/>
          <w:sz w:val="18"/>
          <w:u w:val="single"/>
        </w:rPr>
        <w:t>Item 1. Unaudited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w:t>
      </w:r>
      <w:r>
        <w:rPr>
          <w:rFonts w:ascii="Times New Roman" w:hAnsi="Times New Roman"/>
          <w:b/>
          <w:color w:val="000000"/>
          <w:sz w:val="18"/>
        </w:rPr>
        <w:t>old Holdings, Inc.</w:t>
      </w:r>
    </w:p>
    <w:p>
      <w:pPr>
        <w:pStyle w:val="TextBody"/>
        <w:bidi w:val="0"/>
        <w:jc w:val="center"/>
        <w:rPr>
          <w:rFonts w:ascii="Times New Roman" w:hAnsi="Times New Roman"/>
          <w:b/>
          <w:color w:val="000000"/>
          <w:sz w:val="18"/>
        </w:rPr>
      </w:pPr>
      <w:bookmarkStart w:id="5" w:name="balance_sheet"/>
      <w:bookmarkEnd w:id="5"/>
      <w:r>
        <w:rPr>
          <w:rFonts w:ascii="Times New Roman" w:hAnsi="Times New Roman"/>
          <w:b/>
          <w:color w:val="000000"/>
          <w:sz w:val="18"/>
        </w:rPr>
        <w:t>Condensed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1201"/>
        <w:gridCol w:w="166"/>
        <w:gridCol w:w="146"/>
        <w:gridCol w:w="211"/>
        <w:gridCol w:w="1201"/>
        <w:gridCol w:w="39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7,652,203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card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18,115,802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3,166,186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February 2026 note - related party,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21,110,096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June 2025 convertible note,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March 2025 convertible note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90,477,007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 shares authorized, 0 shares issued and outstanding at June 30, 2026 and 0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600,000,000 shares authorized, 55,407,302 shares issued and 55,021,701 shares outstanding at June 30, 2026 and 48,477,883 shares issued and 48,419,266 shares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233,924,782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(209,758,447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(170,938,984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62,990,647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7"/>
        </w:rPr>
      </w:pPr>
      <w:r>
        <w:rPr>
          <w:rFonts w:ascii="Times New Roman" w:hAnsi="Times New Roman"/>
          <w:color w:val="000000"/>
          <w:sz w:val="17"/>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bookmarkStart w:id="6" w:name="statement_of_operations"/>
      <w:bookmarkEnd w:id="6"/>
      <w:r>
        <w:rPr>
          <w:rFonts w:ascii="Times New Roman" w:hAnsi="Times New Roman"/>
          <w:b/>
          <w:color w:val="000000"/>
          <w:sz w:val="18"/>
        </w:rPr>
        <w:t>Condensed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446"/>
        <w:gridCol w:w="211"/>
        <w:gridCol w:w="1036"/>
        <w:gridCol w:w="166"/>
        <w:gridCol w:w="146"/>
        <w:gridCol w:w="211"/>
        <w:gridCol w:w="1036"/>
        <w:gridCol w:w="166"/>
        <w:gridCol w:w="146"/>
        <w:gridCol w:w="211"/>
        <w:gridCol w:w="1096"/>
        <w:gridCol w:w="166"/>
        <w:gridCol w:w="146"/>
        <w:gridCol w:w="211"/>
        <w:gridCol w:w="1096"/>
        <w:gridCol w:w="491"/>
      </w:tblGrid>
      <w:tr>
        <w:trPr/>
        <w:tc>
          <w:tcPr>
            <w:tcW w:w="3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14,441,545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10,134,597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31,089,650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(15,825,887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(19,622,886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(35,448,773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stockholders: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stockholders: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7"/>
        </w:rPr>
      </w:pPr>
      <w:r>
        <w:rPr>
          <w:rFonts w:ascii="Times New Roman" w:hAnsi="Times New Roman"/>
          <w:color w:val="000000"/>
          <w:sz w:val="17"/>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bookmarkStart w:id="7" w:name="statement_of_stockholders_equity"/>
      <w:bookmarkEnd w:id="7"/>
      <w:r>
        <w:rPr>
          <w:rFonts w:ascii="Times New Roman" w:hAnsi="Times New Roman"/>
          <w:b/>
          <w:color w:val="000000"/>
          <w:sz w:val="18"/>
        </w:rPr>
        <w:t>Condensed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793" w:type="dxa"/>
        <w:jc w:val="left"/>
        <w:tblInd w:w="0" w:type="dxa"/>
        <w:tblLayout w:type="fixed"/>
        <w:tblCellMar>
          <w:top w:w="28" w:type="dxa"/>
          <w:left w:w="28" w:type="dxa"/>
          <w:bottom w:w="28" w:type="dxa"/>
          <w:right w:w="28" w:type="dxa"/>
        </w:tblCellMar>
      </w:tblPr>
      <w:tblGrid>
        <w:gridCol w:w="1216"/>
        <w:gridCol w:w="146"/>
        <w:gridCol w:w="146"/>
        <w:gridCol w:w="976"/>
        <w:gridCol w:w="166"/>
        <w:gridCol w:w="146"/>
        <w:gridCol w:w="196"/>
        <w:gridCol w:w="571"/>
        <w:gridCol w:w="166"/>
        <w:gridCol w:w="146"/>
        <w:gridCol w:w="146"/>
        <w:gridCol w:w="916"/>
        <w:gridCol w:w="166"/>
        <w:gridCol w:w="146"/>
        <w:gridCol w:w="208"/>
        <w:gridCol w:w="543"/>
        <w:gridCol w:w="146"/>
        <w:gridCol w:w="146"/>
        <w:gridCol w:w="196"/>
        <w:gridCol w:w="1006"/>
        <w:gridCol w:w="166"/>
        <w:gridCol w:w="146"/>
        <w:gridCol w:w="196"/>
        <w:gridCol w:w="1066"/>
        <w:gridCol w:w="166"/>
        <w:gridCol w:w="146"/>
        <w:gridCol w:w="196"/>
        <w:gridCol w:w="100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(101,348,522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(67,808,929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(35,453,632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Reverse recapitalization, net of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39,163,783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173,824,439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March 2025 Closing Shares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9,569,184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Series 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interest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placement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46,571,343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225,322,741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(136,802,154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88,525,245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48,477,883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233,924,782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(170,938,984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62,990,647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(38,819,463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interest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Employee Stock Purchase Plan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3,009,021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commitment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intellectual property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55,021,701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241,003,835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(209,758,447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31,250,930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7"/>
        </w:rPr>
      </w:pPr>
      <w:r>
        <w:rPr>
          <w:rFonts w:ascii="Times New Roman" w:hAnsi="Times New Roman"/>
          <w:color w:val="000000"/>
          <w:sz w:val="17"/>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bookmarkStart w:id="8" w:name="statement_of_cash_flows"/>
      <w:bookmarkEnd w:id="8"/>
      <w:r>
        <w:rPr>
          <w:rFonts w:ascii="Times New Roman" w:hAnsi="Times New Roman"/>
          <w:b/>
          <w:color w:val="000000"/>
          <w:sz w:val="18"/>
        </w:rPr>
        <w:t>Condensed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tbl>
      <w:tblPr>
        <w:tblW w:w="7914" w:type="dxa"/>
        <w:jc w:val="left"/>
        <w:tblInd w:w="0" w:type="dxa"/>
        <w:tblLayout w:type="fixed"/>
        <w:tblCellMar>
          <w:top w:w="28" w:type="dxa"/>
          <w:left w:w="28" w:type="dxa"/>
          <w:bottom w:w="28" w:type="dxa"/>
          <w:right w:w="28" w:type="dxa"/>
        </w:tblCellMar>
      </w:tblPr>
      <w:tblGrid>
        <w:gridCol w:w="5061"/>
        <w:gridCol w:w="146"/>
        <w:gridCol w:w="181"/>
        <w:gridCol w:w="811"/>
        <w:gridCol w:w="151"/>
        <w:gridCol w:w="146"/>
        <w:gridCol w:w="181"/>
        <w:gridCol w:w="841"/>
        <w:gridCol w:w="396"/>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(38,819,463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(35,453,632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197,908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on 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2,808,843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(1,324,091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on 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28,524,298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(20,965,072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(2,253,069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970,648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(13,200,089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11,843,751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9,569,109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4,005,132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9,612,199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112,187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debt discount and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953,404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SAFEs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6,503,113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3,353,459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6,895,480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Increase (decrease) in cash resulting from 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(246,105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Credit card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(2,753,588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(67,489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(603,030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195,286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1,376,866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1,374,828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1,318,429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(133,156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(689,680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293,114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(16,043,405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(8,951,081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Purchases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(1,748,759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(2,374,030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sales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59,120,684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Payments for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(434,820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56,631,741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(2,808,850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issuance of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(25,166,667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804,624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Payments of deferred IPO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(652,013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(113,320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 of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Common stock withheld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(19,853,754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20,734,582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(11,720,640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7,652,203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18,330,359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28,386,785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6,609,719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payment of interest with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646,667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to fulfill customer reward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to satisfy other current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46,955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payment for intellectual property acquisition with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repayment of convertible note via transfer of digital assets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34,007,466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amortization of deferred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167,539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allocation of convertible note proceeds to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allocation of note proceeds to commitment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785,200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173,019,904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convertible debt received in digital assets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43,965,525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Change in fair value of Series C Warrants included in 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498,771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for prepaid interest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2,313,975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during the period for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3,408,749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7"/>
        </w:rPr>
      </w:pPr>
      <w:r>
        <w:rPr>
          <w:rFonts w:ascii="Times New Roman" w:hAnsi="Times New Roman"/>
          <w:color w:val="000000"/>
          <w:sz w:val="17"/>
        </w:rPr>
        <w:t>The accompanying notes are an integral part of these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left"/>
        <w:rPr>
          <w:rFonts w:ascii="Times New Roman" w:hAnsi="Times New Roman"/>
          <w:b/>
          <w:color w:val="000000"/>
          <w:sz w:val="20"/>
        </w:rPr>
      </w:pPr>
      <w:bookmarkStart w:id="9" w:name="fs_notes"/>
      <w:bookmarkEnd w:id="9"/>
      <w:r>
        <w:rPr>
          <w:rFonts w:ascii="Times New Roman" w:hAnsi="Times New Roman"/>
          <w:b/>
          <w:color w:val="000000"/>
          <w:sz w:val="20"/>
        </w:rPr>
        <w:t>1. ORGANIZATION AND DESCRIPTION OF BUSINESS</w:t>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 For any given valuation of bitcoin used herein, unless otherwise indicated, we use the market price of bitcoin on the Coinbase exchange at 11:59:59 pm UTC on the date stated.</w:t>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Background and 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Fold Holdings, Inc. is a financial services company that operates across both U.S. dollars ("USD")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bidi w:val="0"/>
        <w:jc w:val="both"/>
        <w:rPr>
          <w:rFonts w:ascii="Times New Roman" w:hAnsi="Times New Roman"/>
          <w:color w:val="000000"/>
          <w:sz w:val="20"/>
        </w:rPr>
      </w:pPr>
      <w:r>
        <w:rPr>
          <w:rFonts w:ascii="Times New Roman" w:hAnsi="Times New Roman"/>
          <w:color w:val="000000"/>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2. SUMMARY OF SIGNIFICANT ACCOUNTING POLICIES</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financial statements have been prepared in accordance with United States generally accepted accounting principles (“U.S. GAAP”) and include the accounts of the Company.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Certain information or footnote disclosures normally included in financial statements prepared in accordance with U.S. GAAP have been condensed or omitted, pursuant to the rules and regulations of the SEC for interim financial reporting. These condensed financial statements and accompanying notes should be read in conjunction with the audited financial statements and accompanying notes for the years ended December 31, 2025 and 2024.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The interim results for the periods presented are not necessarily indicative of the results to be expected for the year ended December 31, 2026, or for any future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financial statements in accordance with U.S. GAAP requires management to make estimates and assumptions that affect the reported amounts of assets, liabilities, and expenses, as well as related disclosure of contingent assets and liabilities.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 bases its estimates on historical experience and on assumptions that the Company believes are reasonable; however, actual results could significantly differ from those estimates. The Company evaluates these estimates on an ongoing basis.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Estimates, judgments, and assumptions in these financial statements include, but are not limited to, those related to the determination of the recognition, measurement, and valuation of current and deferred income taxes; the useful lives and impairment assessment of long-lived assets; the fair value of convertible notes; allowance for credit losses; the fair value of customer reward liability derivative instruments; and loss contingency identification and valuation, including assessing the likelihood of adverse outcomes from positions, claims, and disputes, recoveries of losses recorded, and associated timing.</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six months ended June 30, 2026 and 2025,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primary financial measure used by the CODM to evaluate performance is operating income (loss) as shown on the statements of operations. Segment expenses and other segment items are provided to the CODM on the same basis as disclosed in the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does not evaluate performance or allocate resources based on segment assets, and therefore such information is not presented in the notes to the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Capitalized software development costs,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 The Company also capitalizes intangible assets acquired in connection with asset acquisitions where the nature and useful life of the acquired assets are consistent with internally developed software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Capitalized software development costs consisted of the following:</w:t>
      </w:r>
    </w:p>
    <w:p>
      <w:pPr>
        <w:pStyle w:val="TextBody"/>
        <w:bidi w:val="0"/>
        <w:jc w:val="both"/>
        <w:rPr/>
      </w:pPr>
      <w:r>
        <w:rPr/>
        <w:t> </w:t>
      </w:r>
    </w:p>
    <w:tbl>
      <w:tblPr>
        <w:tblW w:w="6370" w:type="dxa"/>
        <w:jc w:val="left"/>
        <w:tblInd w:w="0" w:type="dxa"/>
        <w:tblLayout w:type="fixed"/>
        <w:tblCellMar>
          <w:top w:w="28" w:type="dxa"/>
          <w:left w:w="28" w:type="dxa"/>
          <w:bottom w:w="28" w:type="dxa"/>
          <w:right w:w="28" w:type="dxa"/>
        </w:tblCellMar>
      </w:tblPr>
      <w:tblGrid>
        <w:gridCol w:w="2701"/>
        <w:gridCol w:w="146"/>
        <w:gridCol w:w="223"/>
        <w:gridCol w:w="1052"/>
        <w:gridCol w:w="166"/>
        <w:gridCol w:w="146"/>
        <w:gridCol w:w="318"/>
        <w:gridCol w:w="1407"/>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gross carrying amount of internally developed software costs that had been capitalized but not placed into service is as follows:</w:t>
      </w:r>
    </w:p>
    <w:p>
      <w:pPr>
        <w:pStyle w:val="TextBody"/>
        <w:bidi w:val="0"/>
        <w:jc w:val="both"/>
        <w:rPr/>
      </w:pPr>
      <w:r>
        <w:rPr/>
        <w:t> </w:t>
      </w:r>
    </w:p>
    <w:tbl>
      <w:tblPr>
        <w:tblW w:w="7305" w:type="dxa"/>
        <w:jc w:val="left"/>
        <w:tblInd w:w="0" w:type="dxa"/>
        <w:tblLayout w:type="fixed"/>
        <w:tblCellMar>
          <w:top w:w="28" w:type="dxa"/>
          <w:left w:w="28" w:type="dxa"/>
          <w:bottom w:w="28" w:type="dxa"/>
          <w:right w:w="28" w:type="dxa"/>
        </w:tblCellMar>
      </w:tblPr>
      <w:tblGrid>
        <w:gridCol w:w="3676"/>
        <w:gridCol w:w="146"/>
        <w:gridCol w:w="271"/>
        <w:gridCol w:w="1004"/>
        <w:gridCol w:w="146"/>
        <w:gridCol w:w="146"/>
        <w:gridCol w:w="367"/>
        <w:gridCol w:w="1358"/>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not placed into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amortization expense on capitalized software development costs placed into service in the amount of $0.2 million and $0.1 million during the three months ended June 30, 2026 and 2025, respectively, and $0.3 million and $0.2 million during the six months ended June 30, 2026 and 2025, respectively. During the three months ended March 31, 2026, the Company recorded a nominal amount of amortization expense related to the write-off and abandonment of projects, which is included within the six-month amortization expense noted above. There were no comparable write-offs during the six months ended June 30,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Customer rewards liability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or the Fold Credit Card, purchasing bitcoin, purchasing merchant offers, etc. Marketing Rewards are defined as those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Rewards are considered earned at the time of the qualifying spend transaction. Revenue Rewards are immediately available for redemption by the user, except for those related to Fold Debit Card and Fold Credit Card transactions which cannot be redeemed until after a 30-day settlement period. Marketing Rewards are earned and available immediately upon the performance of a qualifying action by the user. To redeem available rewards, a user may request a withdrawal to a personal bitcoin wallet.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June 30, 2026 and December 31, 2025, the notional amount of the customer rewards liability outstanding was 77 and 79 bitcoin, respectively, and the derivative instrument was valued at $4.5 million and $6.9 million, respectively, within 'Customer rewards liability' on our accompanying balance sheets. The Company recorded a gain of $0.7 million and a loss of $2.1 million during the three months ended June 30, 2026 and 2025, respectively, and a gain of $2.3 million and a loss of $1.0 million during the six months ended June 30, 2026 and 2025, respectively. For more detail on the fair value measurement of this derivative instrument, refer to Note 14.</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Exchange or Modification of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When freestanding instruments, such as equity-classified shares or bifurcated derivative liabilities, are issued in connection with the new debt, the total proceeds are allocated among the instruments using a combination of the with-and-without method and the relative fair value method. Under this approach, proceeds equal to the fair value of any instruments required to be measured at fair value on a recurring basis, such as bifurcated derivative liabilities accounted for under ASC 815, are first allocated to those instruments using the with-and-without method. The remaining proceeds are then allocated among any remaining freestanding instruments, such as equity-classified shares, using the relative fair value method, with the debt host recorded at its allocated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difference between the carrying amount of the extinguished debt and the consideration transferred is recognized as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extinguishment gain or loss. Under an exchange or modification accounted for as a debt extinguishment, fees paid to the lender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on extinguishment.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an exchange or modification not accounted for as a debt extinguishment, fees paid to the lenders are reflected as additional debt discount and amortized as non-cash interest expense over the remaining initial term of the exchanged or modified debt. Costs incurred with third parties, such as legal fees, directly related to the exchange or modification, are expensed as incurred, and previously deferred fees and costs are amortized as non-cash interest expense over the remaining initial term of the exchanged or modified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debt instruments may be designated at fair value under the fair value option election in accordance with ASC 825-10, with changes in fair value recognized in earnings each period. Upon extinguishment of a debt instrument carried at fair value, the carrying value equals its fair value on the reacquisition date. Any cumulative changes in fair value attributable to instrument-specific credit risk previously recognized in accumulated other comprehensive income are reclassified to earnings upon extinguishment, while changes attributable to other factors are recognized directly in net income as they occur.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Fold Credit Card Program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partnership with a credit card issuing bank (the “Issuing Bank”), the Company offers the Fold Credit Card to cardholders. Credit card receivables represent amounts due from cardholders for purchases, fees, and other charges incurred through the use of the Fold Credit Card. Pursuant to the program agreements, the Company is obligated to purchase all receivables arising under the program, and accordingly, bears the risk of loss associated with cardholder nonpayment following purchase of the receivables. This commitment has been evaluated in accordance with ASC 860 and Fold has determined they are the owner of all purchased receivables from the Issuing Bank. The Company has an ongoing commitment to fund future receivable purchases as cardholder activity occurs. The amount of future receivable purchases will fluctuate based on cardholder spending volumes, credit utilization, and repayment behavior. As the owner of the receivables, the Company records credit card receivables, net of an allowance for expected credit losses in credit card receivables, net on the condensed balance sheets.</w:t>
      </w:r>
    </w:p>
    <w:p>
      <w:pPr>
        <w:pStyle w:val="TextBody"/>
        <w:bidi w:val="0"/>
        <w:jc w:val="left"/>
        <w:rPr>
          <w:rFonts w:ascii="Times New Roman" w:hAnsi="Times New Roman"/>
          <w:color w:val="000000"/>
          <w:sz w:val="20"/>
        </w:rPr>
      </w:pPr>
      <w:r>
        <w:rPr>
          <w:rFonts w:ascii="Times New Roman" w:hAnsi="Times New Roman"/>
          <w:color w:val="000000"/>
          <w:sz w:val="20"/>
        </w:rPr>
        <w:br/>
        <w:t>The allowance for expected credit losses is estimated in accordance with ASC 326 and reflects management’s estimate of lifetime expected losses based on historical loss experience, delinquency, market trends, charge off trends by FICO cohort and aging trends, and other relevant portfolio-level factors. The Company uses a roll-rate methodology, which applies historical delinquency migration and loss patterns to the outstanding receivable balance, to estimate expected losses. The provision for expected credit losses related to credit card receivables is recorded within other selling, general and administrative expenses in the condensed statement of operations and is nominal for both the three and six months ended June 30, 2026.</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and related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Company extinguished all previously outstanding convertible notes and separately entered into the February 2026 Investor Note (as defined below). The Company accounts for the February 2026 Investor Note at amortized cost using the effective interest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evaluates its debt instruments for embedded features requiring bifurcation in accordance with ASC 815. Embedded features that are not clearly and closely related to the debt host, are not remeasured at fair value under otherwise applicable GAAP, and that would qualify as derivatives on a standalone basis, are bifurcated and recorded as derivative liabilities at fair value, with subsequent changes in fair value recognized in earnings. The bifurcated derivative liability is remeasured at each reporting date, with changes in fair value recognized in the condensed statements of operations. Refer to Note 9 for further information.</w:t>
      </w:r>
    </w:p>
    <w:p>
      <w:pPr>
        <w:pStyle w:val="TextBody"/>
        <w:bidi w:val="0"/>
        <w:spacing w:before="240" w:after="200"/>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Expense Disaggregation Disclosures</w:t>
      </w:r>
      <w:r>
        <w:rPr>
          <w:rFonts w:ascii="Times New Roman" w:hAnsi="Times New Roman"/>
          <w:color w:val="000000"/>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The Company is currently evaluating the impact of this standard on its financial statement presentation and disclosures, but it is not expected to have a significant impact on the Company’s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FASB issued Accounting Standards Update 2025-06, Intangibles - Goodwill and Other - Internal-Use Software (Subtopic 350-40), Targeted Improvements to the Accounting for Internal-Use Software" ("ASU 2025-06"). ASU 2025-06 clarifies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believe that any other recently issued but not yet effective accounting standards, if currently adopted, would have a material effect on our financial statements.</w:t>
      </w:r>
    </w:p>
    <w:p>
      <w:pPr>
        <w:pStyle w:val="TextBody"/>
        <w:bidi w:val="0"/>
        <w:spacing w:before="240" w:after="200"/>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fiscal years beginning after December 15, 2025 and interim periods within those fiscal years. The Company adopted ASU 2025-05 effective January 1, 2026. The adoption did not have a material impact on the Company's condensed financial statements.</w:t>
      </w:r>
    </w:p>
    <w:p>
      <w:pPr>
        <w:pStyle w:val="TextBody"/>
        <w:bidi w:val="0"/>
        <w:spacing w:before="120" w:after="283"/>
        <w:jc w:val="both"/>
        <w:rPr/>
      </w:pPr>
      <w:r>
        <w:rPr/>
        <w:t> </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3.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disaggregate revenue by service type and by platform as follows:</w:t>
      </w:r>
    </w:p>
    <w:p>
      <w:pPr>
        <w:pStyle w:val="TextBody"/>
        <w:bidi w:val="0"/>
        <w:jc w:val="left"/>
        <w:rPr/>
      </w:pPr>
      <w:r>
        <w:rPr/>
        <w:t> </w:t>
      </w:r>
    </w:p>
    <w:tbl>
      <w:tblPr>
        <w:tblW w:w="8967" w:type="dxa"/>
        <w:jc w:val="left"/>
        <w:tblInd w:w="0" w:type="dxa"/>
        <w:tblLayout w:type="fixed"/>
        <w:tblCellMar>
          <w:top w:w="28" w:type="dxa"/>
          <w:left w:w="28" w:type="dxa"/>
          <w:bottom w:w="28" w:type="dxa"/>
          <w:right w:w="28" w:type="dxa"/>
        </w:tblCellMar>
      </w:tblPr>
      <w:tblGrid>
        <w:gridCol w:w="2896"/>
        <w:gridCol w:w="146"/>
        <w:gridCol w:w="211"/>
        <w:gridCol w:w="931"/>
        <w:gridCol w:w="166"/>
        <w:gridCol w:w="146"/>
        <w:gridCol w:w="211"/>
        <w:gridCol w:w="931"/>
        <w:gridCol w:w="166"/>
        <w:gridCol w:w="146"/>
        <w:gridCol w:w="211"/>
        <w:gridCol w:w="1036"/>
        <w:gridCol w:w="166"/>
        <w:gridCol w:w="146"/>
        <w:gridCol w:w="211"/>
        <w:gridCol w:w="103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amounts are net of reductions in revenue related to Revenue Rewards totaling $0.4 million and $0.5 million for the three months ended June 30, 2026 and 2025, respectively, and $0.7 million and $1.0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are classified as deferred revenue in our balance sheets. As of June 30, 2026 and December 31, 2025, the contract liability related to our deferred subscription revenues was $0.2 million and $0.3 million, respectively, and the contract liability related to an unearned portion of a bonus paid to us by Visa was $0.1 million and $0.1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activity in deferred revenue for the six months ended June 30, 2026 and the year ended December 31, 2025,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300"/>
        <w:gridCol w:w="1197"/>
        <w:gridCol w:w="166"/>
        <w:gridCol w:w="146"/>
        <w:gridCol w:w="474"/>
        <w:gridCol w:w="1895"/>
        <w:gridCol w:w="213"/>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the period contract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from the contract liabilities included in the 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due to cash received net of amounts recognized in revenue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contract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six months ended June 30, 2026 and 2025, we did not incur any incremental costs to obtain and/or fulfill contracts with customers.</w:t>
      </w:r>
    </w:p>
    <w:p>
      <w:pPr>
        <w:pStyle w:val="TextBody"/>
        <w:bidi w:val="0"/>
        <w:spacing w:before="360" w:after="283"/>
        <w:jc w:val="both"/>
        <w:rPr>
          <w:rFonts w:ascii="Times New Roman" w:hAnsi="Times New Roman"/>
          <w:sz w:val="20"/>
        </w:rPr>
      </w:pPr>
      <w:r>
        <w:rPr>
          <w:rFonts w:ascii="Times New Roman" w:hAnsi="Times New Roman"/>
          <w:b/>
          <w:color w:val="000000"/>
          <w:sz w:val="20"/>
        </w:rPr>
        <w:t>4. DIGITAL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option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Fold’s bitcoin held in treasury as of the dates shown:</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2416"/>
        <w:gridCol w:w="146"/>
        <w:gridCol w:w="215"/>
        <w:gridCol w:w="1060"/>
        <w:gridCol w:w="146"/>
        <w:gridCol w:w="146"/>
        <w:gridCol w:w="269"/>
        <w:gridCol w:w="145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tbl>
      <w:tblPr>
        <w:tblW w:w="6060" w:type="dxa"/>
        <w:jc w:val="left"/>
        <w:tblInd w:w="0" w:type="dxa"/>
        <w:tblLayout w:type="fixed"/>
        <w:tblCellMar>
          <w:top w:w="28" w:type="dxa"/>
          <w:left w:w="28" w:type="dxa"/>
          <w:bottom w:w="28" w:type="dxa"/>
          <w:right w:w="28" w:type="dxa"/>
        </w:tblCellMar>
      </w:tblPr>
      <w:tblGrid>
        <w:gridCol w:w="2431"/>
        <w:gridCol w:w="146"/>
        <w:gridCol w:w="328"/>
        <w:gridCol w:w="947"/>
        <w:gridCol w:w="146"/>
        <w:gridCol w:w="146"/>
        <w:gridCol w:w="350"/>
        <w:gridCol w:w="1375"/>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(BTC)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held 271 and 1,606 bitcoin, respectively, with an aggregate cost of $25.7 million and $118.8 million, respectively. During June 2026, the Company sold 632 bitcoin from its Investment Treasury for proceeds of $44.7 million, of which $20.0 million was used to repay in full the outstanding balance under the Company's Credit Facility (as defined below) and the remaining $24.7 million was retained as unrestricted cash for general corporate purposes. As of June 30, 2026, no amounts remained outstanding under the Credit Facility and no bitcoin was held as collateral. Refer to Note 9 for further details.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in the aggregate, of beginning and ending balances of the Company’s digital assets as of the dates shown is as follows:</w:t>
      </w:r>
    </w:p>
    <w:p>
      <w:pPr>
        <w:pStyle w:val="TextBody"/>
        <w:bidi w:val="0"/>
        <w:jc w:val="both"/>
        <w:rPr/>
      </w:pPr>
      <w:r>
        <w:rPr/>
        <w:t> </w:t>
      </w:r>
    </w:p>
    <w:tbl>
      <w:tblPr>
        <w:tblW w:w="10164" w:type="dxa"/>
        <w:jc w:val="left"/>
        <w:tblInd w:w="0" w:type="dxa"/>
        <w:tblLayout w:type="fixed"/>
        <w:tblCellMar>
          <w:top w:w="28" w:type="dxa"/>
          <w:left w:w="28" w:type="dxa"/>
          <w:bottom w:w="28" w:type="dxa"/>
          <w:right w:w="28" w:type="dxa"/>
        </w:tblCellMar>
      </w:tblPr>
      <w:tblGrid>
        <w:gridCol w:w="4276"/>
        <w:gridCol w:w="146"/>
        <w:gridCol w:w="295"/>
        <w:gridCol w:w="1385"/>
        <w:gridCol w:w="166"/>
        <w:gridCol w:w="146"/>
        <w:gridCol w:w="292"/>
        <w:gridCol w:w="1583"/>
        <w:gridCol w:w="166"/>
        <w:gridCol w:w="146"/>
        <w:gridCol w:w="211"/>
        <w:gridCol w:w="114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Rewards 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Digital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8,569,651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93,568,700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102,138,351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Bitcoin received from March 2025 Investor Note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Remeasurement gain (loss) on bitcoin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22,289,163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159,861,386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169,230,684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(31,921,668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133,658,791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Bitcoin repayment for March 2025 Investor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 of bitcoin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(59,120,684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(59,120,684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of bitcoin from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Remeasurement gain (loss) on bitcoin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(31,333,141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11,356,023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Disbursements of bitcoin represent amounts that were distributed to customers to fulfill customer rewards obligations or to satisfy other current obligations.</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 bitcoin received from the March 2025 Investor Note is net of prepaid interest. Refer to Note 9 for additional details.</w:t>
      </w:r>
    </w:p>
    <w:p>
      <w:pPr>
        <w:pStyle w:val="TextBody"/>
        <w:bidi w:val="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Proceeds from the sale of bitcoin during the six months ended June 30, 2026 were used to pay off the June 2025 Amended Investor Note, repay in full the outstanding balance under the Company's Credit Facility (as defined below), and fund unrestricted cash for general corporate purposes. Refer to Note 9 for additional details.</w:t>
      </w:r>
    </w:p>
    <w:p>
      <w:pPr>
        <w:pStyle w:val="TextBody"/>
        <w:bidi w:val="0"/>
        <w:spacing w:before="240" w:after="283"/>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The remeasurement loss of $1.0 million recognized on the digital assets balances for the three months ended June 30, 2026 consisted of a realized loss of $4.4 million and an unrealized gain of $3.4 million. The remeasurement gain of $38.9 million recognized on the digital assets balance for the three months ended June 30, 2025 consisted of a realized gain of $0.6 million and an unrealized gain of $38.3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remeasurement loss of $31.3 million recognized on the digital assets balances for the six months ended June 30, 2026 consisted of a realized gain of $0.2 million and an unrealized loss of $31.5 million. The remeasurement gain of $22.3 million recognized on the digital assets balance for the six months ended June 30, 2025 consisted of a realized gain of $1.1 million and an unrealized gain of $21.2 million.</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5235" w:type="dxa"/>
        <w:jc w:val="left"/>
        <w:tblInd w:w="0" w:type="dxa"/>
        <w:tblLayout w:type="fixed"/>
        <w:tblCellMar>
          <w:top w:w="28" w:type="dxa"/>
          <w:left w:w="28" w:type="dxa"/>
          <w:bottom w:w="28" w:type="dxa"/>
          <w:right w:w="28" w:type="dxa"/>
        </w:tblCellMar>
      </w:tblPr>
      <w:tblGrid>
        <w:gridCol w:w="1606"/>
        <w:gridCol w:w="146"/>
        <w:gridCol w:w="235"/>
        <w:gridCol w:w="1040"/>
        <w:gridCol w:w="146"/>
        <w:gridCol w:w="146"/>
        <w:gridCol w:w="318"/>
        <w:gridCol w:w="1407"/>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2,384,684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reconciliation, in the aggregate, of beginning and ending balances of the Company’s customer rewards liability as of the dates shown is as follows:</w:t>
      </w:r>
    </w:p>
    <w:tbl>
      <w:tblPr>
        <w:tblW w:w="7558" w:type="dxa"/>
        <w:jc w:val="left"/>
        <w:tblInd w:w="0" w:type="dxa"/>
        <w:tblLayout w:type="fixed"/>
        <w:tblCellMar>
          <w:top w:w="28" w:type="dxa"/>
          <w:left w:w="28" w:type="dxa"/>
          <w:bottom w:w="28" w:type="dxa"/>
          <w:right w:w="28" w:type="dxa"/>
        </w:tblCellMar>
      </w:tblPr>
      <w:tblGrid>
        <w:gridCol w:w="4696"/>
        <w:gridCol w:w="146"/>
        <w:gridCol w:w="439"/>
        <w:gridCol w:w="2066"/>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Customer Rewards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8,569,651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9,369,298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6,872,869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4,504,290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Rewards fulfillments represent amounts that were distributed to customers to fulfill customer rewards obligations.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entered into a Purchase Agreement (the "Purchase Agreement") with SATS Credit Fund LP ("SATS"), pursuant to which SATS purchased a senior unsecured promissory note in the principal amount of $13.0 million (the "February 2026 Investor Note"), and the Company issued 520,000 shares of the Company's Common Stock as additional consideration (the "Initial Commitment Shares"). Concurrently, the Company repaid the outstanding March 2025 Investor Note by transferring 500 bitcoin to SATS. Refer to Note 9 for further details. As SATS is a private investment fund raised and managed by Ten31, LLC, an affiliate of Dr. Jonathan Kirkwood, a member of Fold's Board of Directors, these actions constituted related party transactions and were approved by our Audit Committee.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SAFEs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recognized an increase in the SAFE liability of $0 million and $6.5 million, respectively, related to fair value remeasurements prior to conversion. As of June 30, 2026 and December 31, 2025, no SAFEs remained outstanding.</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 DEBT AND FINANCING ARRANGEMENTS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Convertible notes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the Company’s convertible notes for the respective periods presented is as follows: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The June 2025 Amended Investor Note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5026"/>
        <w:gridCol w:w="146"/>
        <w:gridCol w:w="711"/>
        <w:gridCol w:w="564"/>
        <w:gridCol w:w="146"/>
        <w:gridCol w:w="146"/>
        <w:gridCol w:w="292"/>
        <w:gridCol w:w="1433"/>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2025 Amended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Amended debt premium,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Amended December 2024 convertible note, net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21,469,675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2024, Fold Predecessor entered into a Securities Purchase Agreement (the “December 2024 SPA”) with an institutional investor for the sale of a Senior Secured Convertible Note (the "December 2024 Initial Investor Note"). On June 16, 2025, the Company amended the December 2024 SPA, which was accounted for as an extinguishment of the December 2024 Initial Investor Note and issuance of a new debt instrument (the "June 2025 Amended Investor Note") with a principal amount of $20.0 million, a conversion price of $9.00 per share, and a stated interest rate of 12% per annum. In connection with the June 2025 extinguishment, the Company recognized a loss on extinguishment of debt of $9.6 million during the year ended December 31, 2025. The Series A and Series C warrants remain outstanding and are classified within stockholders' equity. Refer to Note 10 for further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June 2025 Amended Investor Note was scheduled to mature on February 14, 2028 and was classified within non-current liabilities as of December 31, 2025. The Company elected not to remeasure the note at fair value subsequent to issuance and accounted for it at amortized cost using the effective interest method.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27, 2026, the Company repaid the June 2025 Amended Investor Note with a cash payment of $27.5 million, comprised of $20.0 million of outstanding principal and $7.5 million of special interest due as a result of early repayment. The total cash payment of $27.5 million was funded with $14.4 million in proceeds from the sale of 200 bitcoin and $13.0 million in proceeds from the February 2026 Investor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accounted for the repayment as an extinguishment of debt in accordance with ASC 470. In connection with the extinguishment, the Company recognized additional interest expense of $1.7 million, bringing total special interest expense to $2.4 million, which represents the minimum special interest that would have been due at maturity. The remaining $5.1 million of special interest, representing the economic premium attributable to early repayment, was recorded as a loss on extinguishment together with the write-off of $1.3 million of unamortized premium and unamortized debt issuance costs, resulting in a total loss on extinguishment of $3.8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expense recognized related to the June 2025 Amended Investor Note for the three months ended and six months ended June 30, 2026, prior to extinguishment, was nominal. Total interest expense recognized related to the December 2024 Initial Investor Note and June 2025 Amended Investor Note for the three months ended June 30, 2025 was $0.6 million, comprised of contractual interest expense of $0.6 million and $0 million of amortization of the debt premium and debt issuance costs. Total interest expense recognized related to the December 2024 Initial Investor Note and June 2025 Amended Investor Note for the six months ended June 30, 2025 was $1.3 million, comprised of contractual interest expense of $1.3 million and $0 million of amortization of the debt premium and debt issuance costs.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The March 2025 Investor Note</w:t>
      </w:r>
    </w:p>
    <w:p>
      <w:pPr>
        <w:pStyle w:val="TextBody"/>
        <w:bidi w:val="0"/>
        <w:jc w:val="left"/>
        <w:rPr/>
      </w:pPr>
      <w:r>
        <w:rPr/>
        <w:t> </w:t>
      </w:r>
    </w:p>
    <w:tbl>
      <w:tblPr>
        <w:tblW w:w="7185" w:type="dxa"/>
        <w:jc w:val="left"/>
        <w:tblInd w:w="0" w:type="dxa"/>
        <w:tblLayout w:type="fixed"/>
        <w:tblCellMar>
          <w:top w:w="28" w:type="dxa"/>
          <w:left w:w="28" w:type="dxa"/>
          <w:bottom w:w="28" w:type="dxa"/>
          <w:right w:w="28" w:type="dxa"/>
        </w:tblCellMar>
      </w:tblPr>
      <w:tblGrid>
        <w:gridCol w:w="3556"/>
        <w:gridCol w:w="146"/>
        <w:gridCol w:w="711"/>
        <w:gridCol w:w="564"/>
        <w:gridCol w:w="146"/>
        <w:gridCol w:w="146"/>
        <w:gridCol w:w="292"/>
        <w:gridCol w:w="1433"/>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46,279,500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2025 investor note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47,207,556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6, 2025, Fold entered into a Securities Purchase Agreement (the “March 2025 SPA”) with a related party investor, SATS, pursuant to which Fold issued to the investor (i) a Convertible Note in an aggregate principal amount of $46.3 million (the "March 2025 Investor Note"), (ii) warrants exercisable for 925,590 shares of Common Stock with an exercise price of $15.00 per share (the “March 2025 Warrants”), and (iii) an aggregate of 750,000 shares of Common Stock (the “Closing Shares”). The March 2025 Investor Note was funded with 475 bitcoin, net of 25 bitcoin paid to the investor as prepayment for the first year of interest, with 500 bitcoin held as collateral to secure the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elected to account for the March 2025 Investor Note using the fair value option. As of the date of issuance, the fair value of the March 2025 Investor Note was $59.0 million which exceeded the proceeds received of $46.3 million. The $12.7 million excess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the fair value over the net proceeds received was recorded as a loss within the condensed statements of operations for the six months ended June 30, 2025. The Company separately valued the March 2025 Warrants and Closing Shares at $3.8 million and $5.8 million, respectively, and expensed the full $9.6 million immediately as issuance costs given the related party nature of the instrument. The March 2025 Warrants were determined to meet the requirements for equity classification under ASC 815-40.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2026, the Company repaid and extinguished the March 2025 Investor Note by transferring the 500 bitcoin held as collateral against this note to the investor. Prior to extinguishment, the Company remeasured the note to fair value, recognizing a gain of $13.2 million during the six months ended June 30, 2026, which brought the carrying value to approximately $34.0 million, approximating the fair value of the bitcoin transferred. During the three months ended and six months ended June 30, 2025, the Company recorded a $5.3 million loss and $0.9 million gain due to changes in fair value of the March 2025 Investor Note. The Company accounted for the repayment as an extinguishment of debt in accordance with ASC 470. As the fair value of the note approximated the value of the consideration transferred, no gain or loss on extinguishment was recognized. The Company recognized a $0.2 million loss on extinguishment related to unamortized prepaid interest remaining as of the extinguishment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recognized related to the March 2025 Investor Note for the six months ended June 30, 2026 was $0.3 million. Total interest expense recognized related to the March 2025 Investor Note for the three and six months ended June 30, 2025 was $0.5 million and $0.7 million, respectively. The March 2025 Investor Note accrued interest at 7.0% per annum, payable quarterly in shares of Common Stock valued at $12.50 per share.</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Two Prime Credit Facility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October 1, 2025, the Company entered into the Credit Facility, as subsequently amended in November 2025. The Credit Facility permits the Company to request, and Two Prime to make available at its discretion, USD-denominated loans up to an aggregate commitment amount of $45.0 million, subject to the execution of individual loan term sheets. Loans issued under the Credit Facility are secured by bitcoin posted by the Company as collateral and held in segregated cold storage with a qualified digital asset custodian. The Company is required to maintain aggregate collateral levels within specified thresholds, and failure to do so may result in margin calls or liquidation of collateral.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the Amendment, each loan bears interest at a rate of 8.5%, is repayable in USD, and matures on September 30, 2026 with a prepayment option. This loan may be renewed with substantially similar terms upon mutual agreement between the parties prior to the maturity date. The Credit Facility contains customary representations, covenants, collateral requirements, tax and indemnification provisions, and events of default.</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borrowed an additional $10.0 million under the Credit Facility pursuant to Loan Utilization Request #3 under the Amendment. On June 3, 2026, the Company repaid in full the $20.0 million of outstanding principal balance under the Master Loan Agreement with cash received from the sale of bitcoin. Of the 430 bitcoin previously pledged as collateral under the Credit Facility, 281 bitcoin were sold to repay in full the $20.0 million outstanding balance, and the remaining 149 bitcoin of excess collateral were returned to the Company's unrestricted Investment Treasury.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outstanding principal balance under the Master Loan Agreement was $0 million, and no bitcoin is being held as collateral under this Credit Facility. As of December 31, 2025, the outstanding principal balance under the Master Loan Agreement was $10.0 million, secured by 200 bitcoin. The Company classified the outstanding balance as a current liability as of December 31, 2025. Total interest expense related to the Two Prime Credit Facility was $0.3 million and $0.5 million for the three and six months ended June 30, 2026, respectively. There was no comparable activity for the three or six months ended June 30, 2025. The Company was in compliance with all collateral maintenance requirements as of the date of extinguishment and December 31, 2025.</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February 2026 Investor Note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25, 2026, the Company entered into a purchase agreement with SATS, a related party, and issued the February 2026 Investor Note, which has a principal amount of $13.0 million. The February 2026 Investor Note bears interest at 10% per annum, payable monthly, and matures on February 25, 2027. The maturity date may be extended for one additional year upon mutual consent, subject to the issuance of 520,000 additional shares of Fold's Common Stock (the "Renewal Commitment Shares"). The note is voluntarily prepayable at any time without penalty.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accounts for the February 2026 Investor Note at amortized cost using the effective interest method and it is classified as a current liability as of the balance sheet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 connection with the issuance of the February 2026 Investor Note, the Company issued 520,000 shares of its Common Stock (the “Initial Commitment Shares”). The Company determined the Initial Commitment Shares represent freestanding equity instruments. The fair value of the Initial Commitment Shares was $0.8 million on the issuance date. After allocating proceeds to the bifurcated derivative liability and the Initial Commitment Shares, the residual proceeds were allocated to the debt host in accordance with ASC 470. The Company has registered on a Form S-3 the Initial Commitment Shares and an additional 520,000 shares that could be issued to SATS upon renewal of the promissory note in accordance with the terms of a Registration Rights Agreement by and between the Company and SATS entered into on February 25,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February 2026 Investor Note includes mandatory repayment triggers that require prepayment in increments of 25% to 100%, without penalty, upon the occurrence of specified bitcoin price thresholds between $37 thousand and $45 thousand, measured using volume-weighted average prices over specified time periods. The Company determined that these provisions represent an embedded derivative that is not clearly and closely related to the debt host and meets the definition of a derivative instrument under ASC 815. Accordingly, the Company bifurcated the embedded derivative and recorded it as a separate liability at fair value, with subsequent changes in fair value recognized in earnings. The fair value of the embedded derivative was a nominal amount as of June 30, 2026. Other embedded features, including change-of-control and term extension provisions, were determined not to require bifurcation. Refer to Note 14 for further information regarding the fair value measurement of the bifurcated derivative.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interest expense recognized related to the February 2026 Investor Note for the three months ended June 30, 2026 was $0.6 million, comprised of $0.3 million of contractual interest and $0.3 million of amortized debt discount. For the six months ended June 30, 2026 total interest expense was $0.7 million, comprised of $0.4 million of contractual interest and $0.3 million of amortized debt discount.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February 2026 Investor Note provides for certain events of default. In connection with an event of default, SATS may declare all outstanding principal, accrued and unpaid interest, and other amounts payable to be immediately due and payable. The Company is also subject to certain customary affirmative and negative covenants, including a restriction on the incurrence of additional indebtedness above a specified threshold. As of June 30, 2026, the Company was in compliance with all covenants and there have been no events of default during the period.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Third Amended and Restated Certificate of Incorporation of the Company dated February 14, 2025, the Board is authorized to issue 600,000,000 shares of Common Stock at a par value of $0.0001 per share. As of June 30, 2026, the Company had 55.4 million shares of Common Stock issued and 55.0 million shares of Common Stock outstanding. As of December 31, 2025, the Company had 48.5 million shares of Common Stock issued and 48.4 million shares of Common Stock outstanding. Any dividends declared on Common Stock will be subordinated to dividends on any outstanding preferred shares. Holders of Common Stock are entitled to one vote per share.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Third Amended and Restated Certificate of Incorporation of the Company dated February 14, 2025, the Board is authorized to issue 20,000,000 shares of preferred stock at a par value of $0.0001 per share. As of June 30, 2026 and December 31, 2025, the Company had no shares of convertible preferred stock issued and outstanding.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issued under the December 2024 SPA were exercised in connection with the Merger. The Series A and Series C warrants remain outstanding following the extinguishment of the June 2025 Amended Investor Note in February 2026, and expire on February 14, 2033, and August 14, 2026, respectively. The March 2025 Warrants remain outstanding following the extinguishment of the March 2025 Investor Note in February 2026, and expire on March 11, 2030.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2025 Employee Share Purchase Plan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as of the Merger, the Board of Directors adopted the Fold Holdings, Inc. 2025 Employee Stock Purchase Plan (the "ESPP"), pursuant to which 1,216,254 shares of the Company's Common Stock were initially reserved for issuance; such amount increases annually pursuant to an evergreen provision within the ESPP by a number of shares equal to 1% of the shares of Common Stock outstanding as of the end of the fiscal year. The ESPP allows eligible employees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Our initial offering period began on September 1, 2025 and ended on February 28, 2026. A new offering period commenced on March 1, 2026. Subsequent offering periods will automatically commence every six months thereafter, unless cancelled or modified.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employee payroll deductions had begun for the new offering period commencing March 1, 2026. The purchase date for the initial offering period occurred on February 28, 2026, at which time approximately 57,485 shares of Common Stock were purchased by eligible employees at a purchase price of $1.27 per share, representing 85% of the lower of the fair market value of Common Stock on the enrollment date or the purchase date. Total stock-based compensation expense recognized in connection with the ESPP was nominal for the six months ended June 30, 2026.</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2025 Equity Line of Credit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16, 2025, the Company entered into the Facility and a Registration Rights Agreement, each with SZOP Opportunities I LLC ("SZOP"). Pursuant to the Facility, the Company has the right to sell to SZOP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SZOP under the Facility. The total number of shares to be sold to the investor is limited to the extent that the shares would not result in SZOP and its affiliates having shares in excess of the beneficial ownership limitation of 9.99%. The purchase price of shares sold to SZOP will be equal to 97% or 92% of the volume weighted average price on the trading day the shares are put to SZOP with a Regular Advance Notice or an Accelerated Advance Notice, respectively (in each case as defined in the Facility). The Company determined that the right to sell shares of the Company’s Common Stock to SZOP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three and six months ended June 30, 2026, the Company sold 4.23 million and 4.40 million shares of Common Stock to SZOP, respectively, pursuant to the Facility for gross proceeds of $2.9 million and $3.2 million. During the three and six months ended June 30, 2026, the Company recognized $0.2 million and $0.2 million of amortization related to deferred issuance costs, respectively.</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SHARE-BASED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the Merger, Fold Predecessor historically granted Restricted Stock Awards ("RSAs") and Restricted Stock Units (“RSUs”) under the Fold, Inc. 2019 Equity Incentive Plan (the “2019 Equity Plan”). In connection with the Merger, the Company adopted the 2025 Incentive Award Plan (the "2025 Equity Plan") and the ESPP which became effective immediately on the date of the Merger. See Note 10 for further information regarding the Company's ESPP. Collectively, the 2019 Equity Plan and 2025 Equity Plan are referred to as the "Equity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2019 Equity Plan as of the Closing and which, following the Closing, became available for grant under the 2025 Equity Plan, were initially reserved under the 2025 Equity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unsecured right to receive shares of Common Stock (or cash or a combination of shares of Common Stock and cash, as determined in the sole discretion of the Board) upon settlement of the Award. RSAs are Awards of restricted shares of Company Common Stock. Each Award may or may not be subject to vesting. Vesting occurs upon satisfaction of the conditions specified in each individual award agreement. As of June 30, 2026, the Company has not issued any Options, Stock Appreciation Rights, or Other Stock Awards through the Equity Plans.</w:t>
      </w:r>
    </w:p>
    <w:p>
      <w:pPr>
        <w:pStyle w:val="TextBody"/>
        <w:bidi w:val="0"/>
        <w:spacing w:before="360" w:after="283"/>
        <w:jc w:val="both"/>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$1.7 million and $3.4 million of share-based compensation expense for the three and six months ended June 30, 2026, respectively. The Company recognized $1.7 million and $6.9 million of share-based compensation expense for the three and six months ended June 30, 2025, which included $4.4 million of share-based compensation expense that was immediately recognized due to the performance condition being satisfied on February 14, 2025. There was $14.1 million of unrecognized share-based compensation expense related to unvested awards as of June 30, 2026. The unrecognized compensation expense will be recognized on a straight-line basis over the weighted average vesting period of 2.86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Stock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awarded RSAs are not subject to any performance condition vesting requirements and are instead subject only to service conditions. We recorded no share-based compensation expense for the six months ended June 30, 2026 and 2025, respectively. There was no unrecognized compensation expense related to RSAs as of June 30, 2026 or December 31, 2025. There were no additional RSAs granted during the six months ended June 30, 2026 or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RSU and RSA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RSU and RSA share activity under the Equity Plans for the six months ended June 30, 2026 and 2025:</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3211"/>
        <w:gridCol w:w="146"/>
        <w:gridCol w:w="146"/>
        <w:gridCol w:w="146"/>
        <w:gridCol w:w="991"/>
        <w:gridCol w:w="166"/>
        <w:gridCol w:w="146"/>
        <w:gridCol w:w="146"/>
        <w:gridCol w:w="736"/>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401(k)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sponsor a 401(k) defined contribution plan covering all eligible U.S. employees. Both Company and employee contributions to the 401(k) plan are discretionary. For the three months ended June 30, 2026 and 2025, we recorded a nominal amount of expense related to the 401(k) plan, which is included in compensation and benefits in the accompanying statements of operations. For the six months ended June 30, 2026 and 2025, we recorded $0.1 million and $0.1 million of expense related to the 401(k) plan, which is included in compensation and benefits in the accompanying statements of operations. </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sz w:val="20"/>
        </w:rPr>
      </w:pPr>
      <w:r>
        <w:rPr>
          <w:rFonts w:ascii="Times New Roman" w:hAnsi="Times New Roman"/>
          <w:color w:val="000000"/>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w:hAnsi="Times New Roman"/>
          <w:i/>
          <w:color w:val="000000"/>
          <w:sz w:val="20"/>
        </w:rPr>
        <w:t>PCT Litigation Trust v. Fold Holdings, Inc.</w:t>
      </w:r>
      <w:r>
        <w:rPr>
          <w:rFonts w:ascii="Times New Roman" w:hAnsi="Times New Roman"/>
          <w:color w:val="000000"/>
          <w:sz w:val="20"/>
        </w:rPr>
        <w:t xml:space="preserve">, Adv. Pro. No. 25-52024 (JKS)), pursuant to which the litigation trust for Prime Core (“PCT Litigation Trust”) sought avoidance and recovery of alleged preferential transfers.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condensed consolidated financial position, liquidity, capital resources, or results of operations.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had net losses before income taxes of $9.7 million and $38.8 million, respectively, and a nominal amount of income tax expense. During the three and six months ended June 30, 2025, the Company had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and net losses before income taxes of $13.4 million and $35.4 million, respectively, and a nominal amount of income tax expense. For the three and six months ended June 30, 2026 and 2025, the Company recognized income tax expense instead of an income tax benefit at the expected federal tax rate of 21% due to certain losses that are not deductible for tax purposes and an increase in the valuation allowance, partially offset by the effect of state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 has federal and state net operating loss (NOL) carryforwards available to offset future taxable income. Section 382 imposes an annual limitation on the amount of taxable income that can be offset by NOLs following a greater than 50% ownership change by 5% shareholders over a rolling three-year period. As of June 30, 2026, the Company has not completed a study to assess Section 382. Until this analysis is complete, no assurance can be given that the Company will be able to fully utilize its NOL carryforwards. If a limitation is determined to apply, it could materially impact the Company’s ability to offset future taxable income and reduce future cash tax obligations. The Company will update this disclosure in future filings as more information becomes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US. The OBBBA contains, among other provisions, certain changes to U.S. federal income tax laws. The accounting for changes in tax rates and tax law are required to be recognized in the period in which the legislation is enacted. The OBBBA has multiple effective dates, with certain provisions effective in 2026 and others implemented through 2027. The Company is currently assessing the impact of the OBBBA on its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 and liabilities that are measured at fair value on a recurring basis are classified as Level 1, Level 2, and Level 3 as follows:</w:t>
      </w:r>
    </w:p>
    <w:p>
      <w:pPr>
        <w:pStyle w:val="TextBody"/>
        <w:bidi w:val="0"/>
        <w:jc w:val="both"/>
        <w:rPr/>
      </w:pPr>
      <w:r>
        <w:rPr/>
        <w:t> </w:t>
      </w:r>
    </w:p>
    <w:tbl>
      <w:tblPr>
        <w:tblW w:w="9890" w:type="dxa"/>
        <w:jc w:val="left"/>
        <w:tblInd w:w="0" w:type="dxa"/>
        <w:tblLayout w:type="fixed"/>
        <w:tblCellMar>
          <w:top w:w="28" w:type="dxa"/>
          <w:left w:w="28" w:type="dxa"/>
          <w:bottom w:w="28" w:type="dxa"/>
          <w:right w:w="28" w:type="dxa"/>
        </w:tblCellMar>
      </w:tblPr>
      <w:tblGrid>
        <w:gridCol w:w="4306"/>
        <w:gridCol w:w="146"/>
        <w:gridCol w:w="211"/>
        <w:gridCol w:w="1036"/>
        <w:gridCol w:w="146"/>
        <w:gridCol w:w="146"/>
        <w:gridCol w:w="211"/>
        <w:gridCol w:w="1036"/>
        <w:gridCol w:w="146"/>
        <w:gridCol w:w="146"/>
        <w:gridCol w:w="410"/>
        <w:gridCol w:w="325"/>
        <w:gridCol w:w="146"/>
        <w:gridCol w:w="146"/>
        <w:gridCol w:w="211"/>
        <w:gridCol w:w="93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2026 Investor Note - embedded derivative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18" w:type="dxa"/>
        <w:jc w:val="left"/>
        <w:tblInd w:w="0" w:type="dxa"/>
        <w:tblLayout w:type="fixed"/>
        <w:tblCellMar>
          <w:top w:w="28" w:type="dxa"/>
          <w:left w:w="28" w:type="dxa"/>
          <w:bottom w:w="28" w:type="dxa"/>
          <w:right w:w="28" w:type="dxa"/>
        </w:tblCellMar>
      </w:tblPr>
      <w:tblGrid>
        <w:gridCol w:w="2266"/>
        <w:gridCol w:w="146"/>
        <w:gridCol w:w="211"/>
        <w:gridCol w:w="1141"/>
        <w:gridCol w:w="146"/>
        <w:gridCol w:w="146"/>
        <w:gridCol w:w="211"/>
        <w:gridCol w:w="1141"/>
        <w:gridCol w:w="146"/>
        <w:gridCol w:w="204"/>
        <w:gridCol w:w="296"/>
        <w:gridCol w:w="234"/>
        <w:gridCol w:w="146"/>
        <w:gridCol w:w="146"/>
        <w:gridCol w:w="211"/>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54,080,425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54,080,425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our digital assets was determined using the Level 1 input of bitcoin prices in the market we determined to be the principal market as of June 30, 2026 and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customer rewards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June 30, 2026 and December 31, 2025, which is considered a Level 1 input. The forfeiture rate is then applied to reflect an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June 30, 2026 and 2025 was 10%.</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2026, the Company repaid the March 2025 Investor Note through the delivery of 500 bitcoin. Because the note was extinguished via a fixed delivery of bitcoin, the Company determined that the spot price of bitcoin on the repayment date represented the best estimate of fair value immediately prior to settlement. The resulting fair value adjustment, measured as the difference between the December 31, 2025 fair value and the settlement-date fair value, was recorded in the change in fair value of the convertible note within the condensed consolidated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changes in fair value associated with Level 3 convertible note financial instruments held at the beginning or end of the periods presented:</w:t>
      </w:r>
    </w:p>
    <w:p>
      <w:pPr>
        <w:pStyle w:val="TextBody"/>
        <w:bidi w:val="0"/>
        <w:jc w:val="both"/>
        <w:rPr/>
      </w:pPr>
      <w:r>
        <w:rPr/>
        <w:t> </w:t>
      </w:r>
    </w:p>
    <w:tbl>
      <w:tblPr>
        <w:tblW w:w="6538" w:type="dxa"/>
        <w:jc w:val="left"/>
        <w:tblInd w:w="0" w:type="dxa"/>
        <w:tblLayout w:type="fixed"/>
        <w:tblCellMar>
          <w:top w:w="28" w:type="dxa"/>
          <w:left w:w="28" w:type="dxa"/>
          <w:bottom w:w="28" w:type="dxa"/>
          <w:right w:w="28" w:type="dxa"/>
        </w:tblCellMar>
      </w:tblPr>
      <w:tblGrid>
        <w:gridCol w:w="4636"/>
        <w:gridCol w:w="146"/>
        <w:gridCol w:w="249"/>
        <w:gridCol w:w="129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46,279,500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day one loss on issuance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58,123,251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(10,915,695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47,207,556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 delivery of 500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Embedded Derivative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bifurcated derivative liability associated with the February 2026 Investor Note (refer to Note 9) was determined using a Monte Carlo simulation model, which requires the use of several inputs and significant assumptions, including the risk-free rate, bitcoin price volatility, the Company's enterprise value volatility, and the correlation between bitcoin returns and the Company's enterprise value returns.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Fair value measurements associated with the bifurcated derivative were determined based on significant inputs not observable in the market, which represent Level 3 measurements within the fair value hierarchy. Increases and decreases in the fair value of the derivative can result from updates to assumptions such as the price of bitcoin, the probability and timing of the mandatory prepayment triggers being exercised, or changes in the risk-free rate, among other assumptions.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15. CUSTODY OF DIGITAL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custody services on behalf of our customers through an unrelated third-party service provider, who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holds our customer cryptographic key information. We are not aware of any actual or possible safeguarding loss events requiring recognition under ASC 450-20, Loss Contingencies, as of and for the six months ended June 30, 2026 or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customer digital assets held by our qualified custodian totaled $16.8 million and $21.3 million at June 30, 2026 and December 31, 2025, respectively. These assets are not recorded in the Company's balance sheets. Similarly, as the Company has an obligation to safeguard these assets, it has a corresponding unrecorded liability of $16.8 million and $21.3 million at June 30, 2026 and December 31, 2025, respectively. Since the risk of loss is remote, the Company did not record a contingent liability at June 30, 2026 or December 31, 2025.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NET INCOME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Note 1, the Company consummated the Merger on February 14, 2025. The Company accounted for the Merger as a reverse recapitalization. Net income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divided by (b) the number of shares of Fold Fully Diluted Capital Stock as defined in the Merger Agreement. Subsequent to the Merger, net income (loss) per share is calculated based on the weighted average number of shares of Common Stock outstanding.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498"/>
        <w:gridCol w:w="146"/>
        <w:gridCol w:w="146"/>
        <w:gridCol w:w="211"/>
        <w:gridCol w:w="1036"/>
        <w:gridCol w:w="166"/>
        <w:gridCol w:w="146"/>
        <w:gridCol w:w="211"/>
        <w:gridCol w:w="1036"/>
        <w:gridCol w:w="146"/>
        <w:gridCol w:w="146"/>
        <w:gridCol w:w="211"/>
        <w:gridCol w:w="1096"/>
        <w:gridCol w:w="166"/>
        <w:gridCol w:w="146"/>
        <w:gridCol w:w="211"/>
        <w:gridCol w:w="1096"/>
        <w:gridCol w:w="391"/>
      </w:tblGrid>
      <w:tr>
        <w:trPr/>
        <w:tc>
          <w:tcPr>
            <w:tcW w:w="3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effect of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47,561,116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potential Common Stock were excluded from the calculation of diluted net income (loss) per share because their effect would have been anti-dilutive for the periods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left"/>
        <w:rPr/>
      </w:pPr>
      <w:r>
        <w:rPr/>
        <w:t> </w:t>
      </w:r>
    </w:p>
    <w:tbl>
      <w:tblPr>
        <w:tblW w:w="8908" w:type="dxa"/>
        <w:jc w:val="left"/>
        <w:tblInd w:w="0" w:type="dxa"/>
        <w:tblLayout w:type="fixed"/>
        <w:tblCellMar>
          <w:top w:w="28" w:type="dxa"/>
          <w:left w:w="28" w:type="dxa"/>
          <w:bottom w:w="28" w:type="dxa"/>
          <w:right w:w="28" w:type="dxa"/>
        </w:tblCellMar>
      </w:tblPr>
      <w:tblGrid>
        <w:gridCol w:w="2821"/>
        <w:gridCol w:w="14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Unvested restricted stock units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Convertible notes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Investor warrants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Employee stock purchase plan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20,315,580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Potentially dilutive securities attributable to outstanding unvested restricted stock units are excluded from the calculation of diluted loss per share as the effect of the incremental Common Stock would be anti-dilutive and are therefore excluded from the loss per share calculation.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June 2025 Amended Note contained a conversion feature that allowed the investor the option to convert the June 2025 Amended Note in exchange for 2,222,222 shares of Common Stock. The March 2025 Investor Note contained a conversion feature that allowed the investor the option to convert in exchange for 3,702,260 shares of Common Stock. The effect of the incremental Common Stock issuable upon a conversion of these notes was anti-dilutive based on Fold's average share price for the three and six months ended June 30, 2026 and was therefore excluded from the loss per share calculation.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2025, the Company had (1) 12,434,658 public warrants related to legacy FTAC Emerald at an exercise price of $11.50; (2) 869,565 Series A and 869,565 Series C Warrants, at an exercise price of $12.50 and $9.00, respectively; and (3) 925,590 March 2025 Warrants outstanding at an exercise price of $15.00. These warrants are considered anti-dilutive based on Fold's average share price for the three and six months ended June 30, 2026 and are therefore excluded from the income (loss) per share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attributable to the employee stock purchase plan are excluded from the calculation of diluted shares outstanding as of June 30, 2026. The effect of the incremental Common Stock would be anti-dilutive and therefore excluded from the loss per share calculation.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 SUBSEQUENT EVENTS</w:t>
      </w:r>
    </w:p>
    <w:p>
      <w:pPr>
        <w:pStyle w:val="TextBody"/>
        <w:bidi w:val="0"/>
        <w:jc w:val="left"/>
        <w:rPr>
          <w:rFonts w:ascii="Times New Roman" w:hAnsi="Times New Roman"/>
          <w:color w:val="000000"/>
          <w:sz w:val="20"/>
        </w:rPr>
      </w:pPr>
      <w:r>
        <w:rPr>
          <w:rFonts w:ascii="Times New Roman" w:hAnsi="Times New Roman"/>
          <w:color w:val="000000"/>
          <w:sz w:val="20"/>
        </w:rPr>
        <w:br/>
        <w:t>The Company evaluated subsequent events, if any, that would require an adjustment to the Company’s financial statements or require disclosure in the notes to the financial statements through August 11, 2026, the date the financial statements were issued. Where applicable, the notes to these financial statements have been updated to discuss significant subsequent events which have occurred.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Company identified the following subsequent events for disclosure:</w:t>
        <w:br/>
        <w:br/>
        <w:t>The Board has approved seeking stockholder approval for a reverse stock split with a possible ratio from 2-for-1 to 50-for-1, with the exact ratio to be determined by the Board at a later date, and with the Board retaining the discretion to decide not to pursue a reverse stock split.</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managements_discussion_and_analysis"/>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information in this discussion contains forward-looking statements within the meaning of Section 27A of the Securities Act of 1933, as amended, and Section 21E of the Securities Exchange Act of 1934, as amended (the “Exchange Act”). Such statements are based upon current expectations, as well as management’s beliefs and assumptions, and involve a high degree of risk and uncertainty. Any statements contained herein that are not statements of historical fact may be deemed to be forward-looking statements. Statements that include the words “believes,” “anticipates,” “plans,” “expects,” “intends,” and similar expressions that convey uncertainty of future events or outcomes are forward-looking statements. Our actual results could differ materially from those discussed or suggested in the forward-looking statements herein. Factors that could cause or contribute to such differences include those described in Item 1A - Risk Factors of our Annual Report filed March 17, 2026. In addition, as a result of these and other factors, our past financial performance should not be relied on as an indication of future performance. All forward-looking statements in this document are based on information available to us as of the filing date of this Quarterly Report and we assume no obligation to update any forward-looking statements or the reasons why our actual results may differ. See also the Cautionary Note Regarding Forward-Looking Statements in the forepart of this Quarterly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 For any given valuation of bitcoin used herein, unless otherwise indicated, we use the market price of bitcoin on the Coinbase exchange at 11:59:59 pm UTC on the date stated.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Fold Holdings, Inc. is a financial services company that operates across both U.S. dollars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App.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Since Fold was founded, we have sought to be a pioneer in bitcoin consumer financial services.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one of the first of its kind to appear in physical retail networks across the country. In January 2026, we introduced the Employee Bitcoin Bonus program, which allows employers to offer bitcoin bonuses to their employee base and manage those assets through Fold, and announced Steak 'n Shake as our first partner for this program. In March 2026, we launched our bitcoin rewards credit card (the "Fold Credit Card") in partnership with Stripe and Visa. We expect to continue to innovate in the bitcoin consumer financial services space over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One of the foundational value propositions of bitcoin is trust and security. Over the years, many “crypto”-adjacent business models have failed to live up to those values, prioritizing short-term gains over their duties to customers. As a result, many of these companies suffered a combination of reputational damage, bankruptcy, litigation, 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The Facility terminates automatically on June 16, 2027 with an option for early termination by the Company. As of June 30, 2026, the Company had sold 5.82 million shares of Common Stock pursuant to the Facility for gross proceeds of $7.5 million, and recognized $0.2 million of amortization related to deferred issuance costs. Refer to Note 10 for further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introduced the Employee Bitcoin Bonus program, which allows participating employers to offer bitcoin bonuses to their employee base and manage those assets through Fold, and announced Steak 'n Shake as our first partner for this program. Revenue and operating results from the Employee Bitcoin Bonus program were not material during the six months ended June 30, 2026.</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February 25, 2026, the Company entered into a Purchase Agreement (the "Purchase Agreement") with SATS Credit Fund L.P. ("SATS"), an affiliate of the Company's lead director. Pursuant to the Purchase Agreement, SATS purchased from the Company a $13.0 million senior unsecured promissory note (the "February 2026 Investor Note") and the Company issued to SATS 520,000 shares of Common Stock as additional consideration.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26, 2026, the Company repaid and extinguished the March 2025 Investor Note by transferring the 500 bitcoin held as collateral in full satisfaction of all outstanding obligations thereunder. On February 27, 2026, the Company repaid the June 2025 Amended Investor Note with a cash payment of $27.5 million. Following these transactions, the Company no longer has any outstanding convertible notes. Refer to Note 9 for further information regarding these transactions.</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we launched the Fold Credit Card on a limited basis, and we plan to continue to roll out this card to a larger customer base over the coming quarters. Revenue from the credit card program was not material during the six months ended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Company sold approximately 632 bitcoin from its Investment Treasury for proceeds of $44.7 million, of which $20.0 million was used to repay in full the outstanding balance under the Company's revolving credit facility with Two Prime Lending Limited (the "Credit Facility"), and the remaining $24.7 million was retained as unrestricted cash for general corporate purposes. As of June 30, 2026, no amounts were outstanding under the Credit Facility and no bitcoin was held as collateral. Refer to Note 9 for further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14, 2026, the Company received a deficiency from Nasdaq indicating the Company is out of compliance with Nasdaq Rule 5550(a)(2), which requires the Company's minimum bid price to remain at least $1.00 per share. Accordingly, the Board has authorized management to seek shareholder approval for a reverse stock split to cure the deficiency, as described further in Note 17 to the Financial Statements.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Looking ahead</w:t>
      </w:r>
    </w:p>
    <w:p>
      <w:pPr>
        <w:pStyle w:val="TextBody"/>
        <w:bidi w:val="0"/>
        <w:jc w:val="both"/>
        <w:rPr>
          <w:rFonts w:ascii="Times New Roman" w:hAnsi="Times New Roman"/>
          <w:color w:val="000000"/>
          <w:sz w:val="20"/>
        </w:rPr>
      </w:pPr>
      <w:r>
        <w:rPr>
          <w:rFonts w:ascii="Times New Roman" w:hAnsi="Times New Roman"/>
          <w:color w:val="000000"/>
          <w:sz w:val="20"/>
        </w:rPr>
        <w:t xml:space="preserve">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highlighted above, we have successfully launched several new product lines during the last twelve months: (1) the Fold Bitcoin Gift Card, (2) the Employee Bitcoin Bonus program, and (3) the Fold Credit Card. We expect these products to continue to expand to more users and to collectively drive higher volumes, revenues, and margins, and we also expect them to both drive new user acquisition and contribute to deeper engagement within the Fold ecosystem. Over the course of the next few quarters we will continue to explore opportunities to add new consumer financial services that complement and enhance our current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execution, and effectiveness of our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Growth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product strategy, we intend to grow our customer base, transaction volume, and revenues through increased investment into organic and paid marketing channels that have proven successful to-date.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expect our existing products to benefit from this growth strategy, we also expect new products like the Fold Credit Card, the Fold Bitcoin Gift Card, and the Employee Bitcoin Bonus program to create synergies across product lines and attract new users who are looking for a more comprehensive suite of financial products. </w:t>
      </w:r>
    </w:p>
    <w:p>
      <w:pPr>
        <w:pStyle w:val="TextBody"/>
        <w:bidi w:val="0"/>
        <w:spacing w:before="360" w:after="283"/>
        <w:jc w:val="both"/>
        <w:rPr>
          <w:rFonts w:ascii="Times New Roman" w:hAnsi="Times New Roman"/>
          <w:sz w:val="20"/>
        </w:rPr>
      </w:pPr>
      <w:r>
        <w:rPr>
          <w:rFonts w:ascii="Times New Roman" w:hAnsi="Times New Roman"/>
          <w:b/>
          <w:color w:val="000000"/>
          <w:sz w:val="20"/>
        </w:rPr>
        <w:t>Bitcoin treasury strategy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we held approximately 271 BTC in our bitcoin treasury which had a market value of $15.9 million on June 30, 2026, which was approximately $58.5 thousand per bitcoin.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Fold’s purpose for holding bitcoin in treasury is twofold: (1) to fulfill bitcoin rewards to customers in accordance with the terms and conditions of Fold’s user agreements (“Rewards Treasury”); and (2) as a treasury asset to support our operating business with the option to hold it as a near- to long-term investment to preserve potential upside in the value of that bitcoin (“Investment Treasury”). The following is a summary of Fold’s bitcoin held in treasury as of the dates shown:</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2416"/>
        <w:gridCol w:w="146"/>
        <w:gridCol w:w="215"/>
        <w:gridCol w:w="1060"/>
        <w:gridCol w:w="146"/>
        <w:gridCol w:w="146"/>
        <w:gridCol w:w="269"/>
        <w:gridCol w:w="145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tbl>
      <w:tblPr>
        <w:tblW w:w="6060" w:type="dxa"/>
        <w:jc w:val="left"/>
        <w:tblInd w:w="0" w:type="dxa"/>
        <w:tblLayout w:type="fixed"/>
        <w:tblCellMar>
          <w:top w:w="28" w:type="dxa"/>
          <w:left w:w="28" w:type="dxa"/>
          <w:bottom w:w="28" w:type="dxa"/>
          <w:right w:w="28" w:type="dxa"/>
        </w:tblCellMar>
      </w:tblPr>
      <w:tblGrid>
        <w:gridCol w:w="2431"/>
        <w:gridCol w:w="146"/>
        <w:gridCol w:w="328"/>
        <w:gridCol w:w="947"/>
        <w:gridCol w:w="146"/>
        <w:gridCol w:w="146"/>
        <w:gridCol w:w="350"/>
        <w:gridCol w:w="1375"/>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(BTC)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Company sold 200 bitcoin for $14.4 million, or approximately $71.9 thousand per bitcoin, and repaid the March 2025 Investor Note by returning the 500 bitcoin that were previously reserved as collateral against that note. In June 2026, the Company sold 632 bitcoin for $44.7 million, or approximately $70.8 thousand per bitcoin, of which $20.0 million of the proceeds was used to repay in full the outstanding balance under the Credit Facility. As of June 30, 2026, no amounts were outstanding and no bitcoin was held as collateral under the Credit Facility. Refer to Note 9 for further information regarding these financing transactions. We may execute additional bitcoin sales based on market conditions and business requirements as part of our treasury management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operating metrics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our performance to that of other financial service providers. Where applicable we have provided definitions of metrics we consider key to our operations below.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Verified Accounts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June 30, 2026, we added over 1,000 Verified Accounts, bringing total Verified Accounts to over 87,000.</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Transaction Volumes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Transaction Volume is inclusive of deposits, spend, and withdrawals across our platform and are inclusive of both fiat (“USD”) and bitcoin (“BTC”) transaction volumes. We consider Transaction Volume a key operating metric as the majority of our revenues are derived from these volumes.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inception through June 30, 2026, Fold processed over $3.8 billion in Transaction Volume through our platform. For the three months ended June 30, 2026, we averaged nearly $55 million in Transaction Volume per month.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Fold is a financial services platform and not a chartered bank. Our banking and payments revenues consist of revenues received from our Fold Debit Card and related product features,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Fold+ Subscriptions:</w:t>
      </w:r>
      <w:r>
        <w:rPr>
          <w:color w:val="000000"/>
        </w:rPr>
        <w:t xml:space="preserve"> </w:t>
      </w:r>
      <w:r>
        <w:rPr>
          <w:rFonts w:ascii="Times New Roman" w:hAnsi="Times New Roman"/>
          <w:color w:val="000000"/>
          <w:sz w:val="20"/>
        </w:rPr>
        <w:t>Fold’s premium membership tier, called “Fold+”, offers users reduced or no fees on eligible products, higher rewards, and access to limited features. Fold+ costs $100/year or $10/month depending on the customer’s payment frequency selection. As announced January 27, 2026, we intend to eliminate the fees for the Fold+ subscription during fiscal year 2026 as part of the larger rollout of our Fold Credit Card.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Interchange:</w:t>
      </w:r>
      <w:r>
        <w:rPr>
          <w:color w:val="000000"/>
        </w:rPr>
        <w:t xml:space="preserve"> </w:t>
      </w:r>
      <w:r>
        <w:rPr>
          <w:rFonts w:ascii="Times New Roman" w:hAnsi="Times New Roman"/>
          <w:color w:val="000000"/>
          <w:sz w:val="20"/>
        </w:rPr>
        <w:t>Each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Transaction Fees: </w:t>
      </w:r>
      <w:r>
        <w:rPr>
          <w:rFonts w:ascii="Times New Roman" w:hAnsi="Times New Roman"/>
          <w:color w:val="000000"/>
          <w:sz w:val="20"/>
        </w:rPr>
        <w:t xml:space="preserve">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Merchant Offers:</w:t>
      </w:r>
      <w:r>
        <w:rPr>
          <w:color w:val="000000"/>
        </w:rPr>
        <w:t xml:space="preserve"> </w:t>
      </w:r>
      <w:r>
        <w:rPr>
          <w:rFonts w:ascii="Times New Roman" w:hAnsi="Times New Roman"/>
          <w:color w:val="000000"/>
          <w:sz w:val="20"/>
        </w:rPr>
        <w:t>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Fold partnered with BitGo Bank &amp; Trust, National Association (f/k/a BitGo Trust Company, Inc.), a federally chartered national trust bank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are included within this revenue line, as that product is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sz w:val="20"/>
        </w:rPr>
      </w:pPr>
      <w:r>
        <w:rPr>
          <w:rFonts w:ascii="Times New Roman" w:hAnsi="Times New Roman"/>
          <w:i/>
          <w:color w:val="000000"/>
          <w:sz w:val="20"/>
        </w:rPr>
        <w:t>Other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occasionally earn revenues from alternate sources, including Fold merchandise sales, sponsorship revenues, affiliate revenues, and other one-off revenue models. These revenues are typically non-recurring and are not currently material to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for the three and six months ended June 30, 2026, revenues from the Fold Credit Card are included within this revenue line, as that product has launched on a limited basis and related revenues are not yet material to our business. As the Fold Credit Card program grows, we expect to present its revenues as a separate revenue category in future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Revenue Rewards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Users can earn bitcoin rewards by engaging in qualifying revenue-generating activities. "Revenue Rewards" are defined as rewards that are earned in direct relation to a qualifying spend transaction, such as spending on the Fold Debit Card, spending on the Fold Credit Card, purchasing bitcoin, purchasing merchant offers, and so on.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(i.e. we reduce interchange revenue by the amount of rewards earned by customers when completing qualifying spend transactions).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Fold Credit Card are subject to a 30-day settlement period before becoming available for redemption, a policy that is in place to prevent fraudulent activities.</w:t>
      </w:r>
    </w:p>
    <w:p>
      <w:pPr>
        <w:pStyle w:val="TextBody"/>
        <w:bidi w:val="0"/>
        <w:jc w:val="left"/>
        <w:rPr>
          <w:rFonts w:ascii="Times New Roman" w:hAnsi="Times New Roman"/>
          <w:color w:val="000000"/>
          <w:sz w:val="20"/>
        </w:rPr>
      </w:pPr>
      <w:r>
        <w:rPr>
          <w:rFonts w:ascii="Times New Roman" w:hAnsi="Times New Roman"/>
          <w:color w:val="000000"/>
          <w:sz w:val="20"/>
        </w:rPr>
        <w:b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br/>
        <w:t> </w:t>
      </w:r>
    </w:p>
    <w:p>
      <w:pPr>
        <w:pStyle w:val="TextBody"/>
        <w:bidi w:val="0"/>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bidi w:val="0"/>
        <w:spacing w:before="360" w:after="283"/>
        <w:jc w:val="both"/>
        <w:rPr>
          <w:rFonts w:ascii="Times New Roman" w:hAnsi="Times New Roman"/>
          <w:sz w:val="20"/>
        </w:rPr>
      </w:pPr>
      <w:r>
        <w:rPr>
          <w:rFonts w:ascii="Times New Roman" w:hAnsi="Times New Roman"/>
          <w:i/>
          <w:color w:val="000000"/>
          <w:sz w:val="20"/>
        </w:rPr>
        <w:t>Sales returns and allowances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Custody and trading costs consist primarily of licensing, servicing, and custodial fees related to our bitcoin exchange product. Some custody and trading costs scale in proportion to our volumes.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Compensation and benefits expenses primarily consist of salaries and wages, employee insurance expenses, share-based compensation, and other payroll benefits related to full time employees.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fees consist primarily of expenses related to fees paid for services, including legal, tax, accounting, and audit services.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determined that gains or losses on digital assets held for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fulfilling Rewards are related to its core operations, and therefore classifies all gains and losses on the remeasurement of this liability as an 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digital assets - rewards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selling, general and administrative expenses consist primarily of costs associated with contract labor, computer and internet, insurance, customer support costs, dues and subscriptions, and travel.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Gain (loss) on digital assets - investment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 in fair value of SAFEs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SAFEs resulted from unrealized gain or loss due to the remeasurement of outstanding SAFEs, which were classified as liabilities for accounting purposes. On February 14, 2025, upon Closing of the Merger, all SAFEs held by Fold Predecessor converted into Common Stock of Fold Holdings, Inc. No SAFEs remained outstanding subsequent to the Closing, and accordingly, no future fair value remeasurements will be recognized.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 in fair value of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note results from the fair value gain or loss related to the March 2025 Investor Note.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Legal settlements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settlement expenses consist of costs associated with the settlement of litigation matters. These costs are non-recurring and do not relate to core ongoing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Convertible note issuance costs and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Convertible note issuance costs and fees relate to the March 2025 SPA including the March 2025 Warrants and Closing Shares.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Convertible note costs related to the extinguishment of the June 2025 Amended Investor Note and March 2025 Investor Note.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primarily consists of contractual interest and amortization of debt discounts, premiums, and issuance costs related to the Company's convertible notes, the February 2026 Investor Note and the Credit Facility.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primarily consists of interest income earned on cash and cash equivalents and changes in the fair value of various instruments that are not material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three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5"/>
        <w:gridCol w:w="146"/>
        <w:gridCol w:w="211"/>
        <w:gridCol w:w="1036"/>
        <w:gridCol w:w="166"/>
        <w:gridCol w:w="146"/>
        <w:gridCol w:w="211"/>
        <w:gridCol w:w="1036"/>
        <w:gridCol w:w="166"/>
        <w:gridCol w:w="146"/>
        <w:gridCol w:w="211"/>
        <w:gridCol w:w="1096"/>
        <w:gridCol w:w="166"/>
        <w:gridCol w:w="146"/>
        <w:gridCol w:w="230"/>
        <w:gridCol w:w="761"/>
        <w:gridCol w:w="516"/>
      </w:tblGrid>
      <w:tr>
        <w:trPr/>
        <w:tc>
          <w:tcPr>
            <w:tcW w:w="3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(21,634,889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(23,078,005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(23,077,124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(i)</w:t>
      </w:r>
      <w:r>
        <w:rPr>
          <w:rFonts w:ascii="Times New Roman" w:hAnsi="Times New Roman"/>
          <w:color w:val="000000"/>
          <w:sz w:val="20"/>
        </w:rPr>
        <w:t xml:space="preserve"> Not meaningful ("NM")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8801" w:type="dxa"/>
        <w:jc w:val="left"/>
        <w:tblInd w:w="0" w:type="dxa"/>
        <w:tblLayout w:type="fixed"/>
        <w:tblCellMar>
          <w:top w:w="28" w:type="dxa"/>
          <w:left w:w="28" w:type="dxa"/>
          <w:bottom w:w="28" w:type="dxa"/>
          <w:right w:w="28" w:type="dxa"/>
        </w:tblCellMar>
      </w:tblPr>
      <w:tblGrid>
        <w:gridCol w:w="2896"/>
        <w:gridCol w:w="146"/>
        <w:gridCol w:w="211"/>
        <w:gridCol w:w="931"/>
        <w:gridCol w:w="166"/>
        <w:gridCol w:w="146"/>
        <w:gridCol w:w="211"/>
        <w:gridCol w:w="931"/>
        <w:gridCol w:w="166"/>
        <w:gridCol w:w="146"/>
        <w:gridCol w:w="211"/>
        <w:gridCol w:w="991"/>
        <w:gridCol w:w="166"/>
        <w:gridCol w:w="146"/>
        <w:gridCol w:w="255"/>
        <w:gridCol w:w="736"/>
        <w:gridCol w:w="34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revenue for the three months ended June 30, 2026 decreased by $2.1 million, or 26%, to $6.1 million, compared to the net revenue of $8.2 million for the three months ended June 30, 2025. Those amounts are net of reductions in revenue related to Revenue Rewards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totaling $0.4 million and $0.5 million for the three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in revenues reflects the broader downturn in digital asset markets that began in the fourth quarter of 2025 and carried into the current period. Having reached an all-time high of approximately $126,000 in early October 2025, bitcoin reversed sharply as leverage liquidations, long-term holder distributions, and macroeconomic uncertainties drove prices down toward the $88,000 range by December 2025. The drawdown extended into the second quarter of 2026, with bitcoin falling further to a low of approximately $58,000, a decline of more than 50% from the peak. This significant contraction in bitcoin valuations had a direct impact on customer activity within our platform. Specifically, for the three months ended June 30, 2026, we averaged approximately $55 million in Transaction Volume per month, compared to $57 million per month for the three months ended March 31, 2026, and $88 million per month for the three months ended June 30, 2025. Our volumes and revenue remain subject to ongoing bitcoin price volatility and broader macroeconomic conditions.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Banking and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driver behind decreased banking and payments revenues related to merchant offers within our banking and payments business. Net revenue from merchant offers decreased 36% from $7.5 million for the three months ended June 30, 2025 to $4.8 million for the three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our net banking and payments revenues for the three months ended June 30, 2026 and three months ended June 30, 2025 were $0.5 million and $0.5 million, respectively.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revenues from custody and trading increased by approximately $0.6 million from $0.2 million for the three months ended June 30, 2025 to $0.8 million for the three months ended June 30, 2026. We believe that custody and trading revenues will be an important growth driver for both volumes and revenues going forward and are working on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which launched in May 2025, are included within custody and trading. Revenues from this product were $0.7 million for the three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We expect to continue to roll out this product to new distribution channels in the near term.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36% from $7.4 million for the three months ended June 30, 2025 to $4.7 million for the three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and Visa rebates, our banking and payments costs were $0.3 million for the three months ended June 30, 2026 compared to $0.3 million for the three months ended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$0.7 million for the three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 expenses increased $0.1 million from $2.0 million for the three months ended June 30, 2025 to $2.1 million for the three months ended June 30, 2026, primarily due to increased headcount. Employee headcount as of June 30, 2026 was 43 employees. We do not expect to materially increase headcount in the near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and benefits expense for the three months ended June 30, 2026 and 2025 also included non-cash share-based compensation expense of $1.7 million and $1.7 million, respectively. </w:t>
      </w:r>
    </w:p>
    <w:p>
      <w:pPr>
        <w:pStyle w:val="TextBody"/>
        <w:bidi w:val="0"/>
        <w:spacing w:before="360" w:after="283"/>
        <w:jc w:val="both"/>
        <w:rPr>
          <w:rFonts w:ascii="Times New Roman" w:hAnsi="Times New Roman"/>
          <w:sz w:val="20"/>
        </w:rPr>
      </w:pPr>
      <w:r>
        <w:rPr>
          <w:rFonts w:ascii="Times New Roman" w:hAnsi="Times New Roman"/>
          <w:i/>
          <w:color w:val="000000"/>
          <w:sz w:val="20"/>
        </w:rPr>
        <w:t>Marketing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expenses were $0.7 million for the three months ended June 30, 2026 compared to $0.6 million for the three months ended June 30, 2025, respectively. As noted above, we plan to continue to invest in paid marketing and affiliate opportunities in 2026 to support the launches of our newest products, including the Fold Credit Card.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fees remained consistent at $1.3 million for the three months ended June 30, 2026, compared to $1.3 million for the three months ended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 and digital assets - rewards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three months ended June 30, 2026 and 2025.</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Selling, General and Administrative expenses primarily consist of costs related to insurance premiums, prepaid amortization, contract labor, and other general business expenses. Total Other Selling, General and Administrative Expenses increased from $1.3 million for the three months ended June 30, 2025 to $1.7 million for the three months ended June 30, 2026. This increase was primarily driven by higher software amortization costs, contract labor including marketing related services, board compensation, and travel related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three months ended June 30, 2026 and 2025, with the magnitude of these amounts also affected by the lower bitcoin balance held in the Investment Treasury following the Company's bitcoin sales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note results from the fair value gain or loss related to the March 2025 Investor Note. During the three months ended June 30, 2025, the Company incurred a loss of $5.3 million due to the change in the fair value of the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Legal settlement expenses of $1.4 million during the three months ended June 30, 2026 consist of costs associated with the PCT Litigation Trust settlement. These costs are non-recurring and do not relate to core ongoing operations.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June 30, 2025, we incurred a loss on extinguishment of debt of $9.6 million in the condensed statement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we incurred interest expense of $0.3 million related to the Credit Facility and $0.6 million related to the February 2026 Investor Note, which includes amortization expense related to the debt discount. For the three months ended June 30, 2025, we incurred interest expense of $0.6 million for the June 2025 Amended Investor Note and $0.5 million related to the March 2025 Investor Note and amortization of debt discount and debt issuance costs related to our December 2024 Initial Investor Note, prior to extinguishment.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5"/>
        <w:gridCol w:w="146"/>
        <w:gridCol w:w="211"/>
        <w:gridCol w:w="1096"/>
        <w:gridCol w:w="166"/>
        <w:gridCol w:w="146"/>
        <w:gridCol w:w="211"/>
        <w:gridCol w:w="1096"/>
        <w:gridCol w:w="166"/>
        <w:gridCol w:w="146"/>
        <w:gridCol w:w="211"/>
        <w:gridCol w:w="1096"/>
        <w:gridCol w:w="166"/>
        <w:gridCol w:w="146"/>
        <w:gridCol w:w="230"/>
        <w:gridCol w:w="761"/>
        <w:gridCol w:w="616"/>
      </w:tblGrid>
      <w:tr>
        <w:trPr/>
        <w:tc>
          <w:tcPr>
            <w:tcW w:w="3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(i)</w:t>
      </w:r>
      <w:r>
        <w:rPr>
          <w:rFonts w:ascii="Times New Roman" w:hAnsi="Times New Roman"/>
          <w:color w:val="000000"/>
          <w:sz w:val="20"/>
        </w:rPr>
        <w:t xml:space="preserve"> Not meaningful ("NM")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9011" w:type="dxa"/>
        <w:jc w:val="left"/>
        <w:tblInd w:w="0" w:type="dxa"/>
        <w:tblLayout w:type="fixed"/>
        <w:tblCellMar>
          <w:top w:w="28" w:type="dxa"/>
          <w:left w:w="28" w:type="dxa"/>
          <w:bottom w:w="28" w:type="dxa"/>
          <w:right w:w="28" w:type="dxa"/>
        </w:tblCellMar>
      </w:tblPr>
      <w:tblGrid>
        <w:gridCol w:w="2896"/>
        <w:gridCol w:w="146"/>
        <w:gridCol w:w="211"/>
        <w:gridCol w:w="1036"/>
        <w:gridCol w:w="166"/>
        <w:gridCol w:w="146"/>
        <w:gridCol w:w="211"/>
        <w:gridCol w:w="1036"/>
        <w:gridCol w:w="166"/>
        <w:gridCol w:w="146"/>
        <w:gridCol w:w="211"/>
        <w:gridCol w:w="991"/>
        <w:gridCol w:w="166"/>
        <w:gridCol w:w="146"/>
        <w:gridCol w:w="255"/>
        <w:gridCol w:w="736"/>
        <w:gridCol w:w="34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(3,581,545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revenue for the six months ended June 30, 2026 decreased by $3.6 million, or 23%, to $11.7 million, compared to the net revenue of $15.3 million for the six months ended June 30, 2025. Those amounts are net of reductions in revenue related to Revenue Rewards totaling $0.7 million and $1.0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decrease in revenues reflects the broader downturn in digital asset markets that began in the fourth quarter of 2025 and carried into the current period. Having reached an all-time high valuation of approximately $126,000 in early October 2025, bitcoin reversed sharply as leverage liquidations, long-term holder distributions, and macroeconomic uncertainties drove prices down toward the $88,000 range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December 2025. The drawdown extended into the second quarter of 2026, with bitcoin falling further to a low of approximately $58,000, a decline of more than 50% from the peak. This significant contraction in bitcoin valuations had a direct impact on customer activity within our platform. Specifically, for the six months ended June 30, 2026, we averaged approximately $56 million in Transaction Volume per month, compared to $85 million per month for the six months ended June 30, 2025. Our volumes and revenue remain subject to ongoing bitcoin price volatility and broader macroeconomic conditions.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Banking and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driver behind decreased banking and payments revenues related to merchant offers within our banking and payments business. Net revenue from merchant offers decreased 33% from $13.9 million for the six months ended June 30, 2025 to $9.3 million for the six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our net banking and payments revenues for the six months ended June 30, 2026 and six months ended June 30, 2025 were $0.9 million and $0.9 million, respectively.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Custody and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revenues from custody and trading increased by approximately $1.0 million from $0.4 million for the six months ended June 30, 2025 to $1.4 million for the six months ended June 30, 2026.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which launched in May 2025, are included within custody and trading. Revenues from this product were $1.2 million for the six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33% from $13.8 million for the six months ended June 30, 2025 to $9.3 million for the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Excluding merchant offers and Visa rebates, our banking and payments costs decreased to $0.5 million for the six months ended June 30, 2026 compared to $0.7 million for the six months ended June 30, 2025. This decrease was driven by decreased processing fees, card fulfillment fees and KYC costs related to new cardholder sign-ups during the six months ended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$1.2 million for the six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 expenses increased $1.2 million from $3.3 million for the six months ended June 30, 2025 to $4.5 million for the six months ended June 30, 2026, primarily due to increased headcount, merit increases, and employee bonuses. Employee headcount as of June 30, 2026 was 43 employees. We do not expect to materially increase headcount in the near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and benefits expense for the six months ended June 30, 2026 and 2025 also included non-cash share-based compensation expense of $3.4 million and $6.9 million, respectively. The $6.9 million of share-based compensation expense for the six months ended June 30, 2025 included $4.4 million of unrecognized share-based compensation expense that was immediately recognized due to the performance condition under the 2019 Equity Plan being deemed satisfied on February 14, 2025 as a result of the Merger with FTAC Emerald. There was $14.1 million of unrecognized share-based compensation expense related to unvested awards as of June 30, 2026. </w:t>
      </w:r>
    </w:p>
    <w:p>
      <w:pPr>
        <w:pStyle w:val="TextBody"/>
        <w:bidi w:val="0"/>
        <w:spacing w:before="360" w:after="283"/>
        <w:jc w:val="both"/>
        <w:rPr>
          <w:rFonts w:ascii="Times New Roman" w:hAnsi="Times New Roman"/>
          <w:sz w:val="20"/>
        </w:rPr>
      </w:pPr>
      <w:r>
        <w:rPr>
          <w:rFonts w:ascii="Times New Roman" w:hAnsi="Times New Roman"/>
          <w:i/>
          <w:color w:val="000000"/>
          <w:sz w:val="20"/>
        </w:rPr>
        <w:t>Marketing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expenses were $1.0 million for the six months ended June 30, 2026 compared to $1.0 million for the six months ended June 30, 2025, respectively. As noted above, we plan to continue to invest in paid marketing and affiliate opportunities in 2026 to support the launches of our newest products, including the Fold Credit Card.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fees decreased to $2.9 million for the six months ended June 30, 2026, compared to $3.1 million for the six months ended June 30, 2025. This decrease was driven primarily by lower fees paid to external legal counsel and third-party consultants compared to 2025 which included costs incurred to support our Merger with FTAC Emerald and financing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 and digital assets - rewards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six months ended June 30, 2026 and 2025.</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Selling, General and Administrative expenses primarily consist of costs related to insurance premiums, prepaid amortization, contract labor, and other general business expenses. Total Other Selling, General and Administrative Expenses increased from $2.4 million for the six months ended June 30, 2025 to $3.4 million for the six months ended June 30, 2026. This increase was primarily driven by higher software amortization costs, contract labor including marketing related services, board compensation, and travel related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six months ended June 30, 2026 and 2025, with the magnitude of these amounts also affected by the lower bitcoin balance held in the Investment Treasury following the Company's bitcoin sales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convertible note results from the fair value gain or loss related to the March 2025 Investor Note. The gain on the fair value of the convertible note was $13.2 million during the six months ended June 30, 2026. The net loss on the fair value of the convertible note of $11.8 million during the six months ended June 30, 2025 is comprised of a $12.7 million day one loss on the issuance of debt offset by a $0.9 million gain on the change in fair value.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Convertible note issuance costs and fees relate to the March 2025 SPA including the March 2025 Warrants and Closing Shares. The total issuance costs expensed were $9.6 million for the six months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Legal settlement expenses of $1.4 million during the six months ended June 30, 2026 consist of costs associated with the PCT Litigation Trust settlement. These costs are non-recurring and do not relate to core ongoing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relates to amortization of the December 2024 Investor Note discount and issuance costs, June 2025 Amended Investor Note premium and issuance costs, March 2025 Investor Note, interest expense related to the February 2026 Investor Note and interest expense related to the Credit Facility. For the six months ended June 30, 2026, we incurred a nominal amount of interest expense related to the amortization of debt premium and debt issuance costs related to the March 2025 Investor Note prior to extinguishment, $2.4 million of special interest expense related to the early prepayment of the June 2025 Amended Investor Note, $0.5 million related to the Credit Facility, and $0.7 million related to the February 2026 Investor Note. For the six months ended June 30, 2025, we incurred interest expense of $1.3 million for the December 2024 Investor Note, $0.7 million for the March 2025 Investor Note and amortization of debt discount and debt issuance costs related to our December 2024 Initial Investor Note, prior to extinguishment.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net income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(vi) impairments, restructuring charges, and business acquisition- or disposition-related expenses that we believe are not indicative of our core operating results and (vii) legal settlement expenses associated with unusual or non-recurring litigation matters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we added legal settlement expenses as a new category of adjustment to Adjusted EBITDA, related to the settlement of a preference claim asserted in connection with the bankruptcy of a third-party platform. The claim did not allege, and the settlement did not involve any admission of, wrongdoing or misconduct by the Company. This matter is not expected to recur, and we believe its exclusion provides a more comparable basis for assessing our core operating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reconciliation of Adjusted EBITDA to the most directly comparable GAAP measure, net 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89"/>
        <w:gridCol w:w="146"/>
        <w:gridCol w:w="211"/>
        <w:gridCol w:w="991"/>
        <w:gridCol w:w="166"/>
        <w:gridCol w:w="146"/>
        <w:gridCol w:w="211"/>
        <w:gridCol w:w="1096"/>
        <w:gridCol w:w="166"/>
        <w:gridCol w:w="146"/>
        <w:gridCol w:w="211"/>
        <w:gridCol w:w="1096"/>
        <w:gridCol w:w="166"/>
        <w:gridCol w:w="146"/>
        <w:gridCol w:w="211"/>
        <w:gridCol w:w="1096"/>
        <w:gridCol w:w="411"/>
      </w:tblGrid>
      <w:tr>
        <w:trPr/>
        <w:tc>
          <w:tcPr>
            <w:tcW w:w="3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(8,899,241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for the three months ended June 30, 2026 decreased by $0.8 million, or 17% compared to the three months ended June 30, 2025. The principal driver of decreased Adjusted EBITDA relates to (i) increased other selling, general and administrative expenses of $0.4 million related to contract labor expenses for product development and marketing; (ii) increased compensation expense, excluding share-based compensation, of $0.2 million due to increased headcount; and (iii) increased marketing expenses of $0.1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for the six months ended June 30, 2026 decreased by $2.3 million, or 26% compared to the six months ended June 30, 2025. The principal driver of decreased Adjusted EBITDA relates to (i) increased compensation and benefits expense, excluding share-based compensation, of $1.2 million; (ii) increased other selling, general and administrative expenses of $1.0 million related to contract labor expenses for product development and marketing; and (iii) lower margin contributions across all product lines of $0.2 million. These decreases were partially offset by lower professional fees of $0.1 million.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Adjusted EBITDA (Loss) Per Share</w:t>
      </w:r>
    </w:p>
    <w:tbl>
      <w:tblPr>
        <w:tblW w:w="10205" w:type="dxa"/>
        <w:jc w:val="left"/>
        <w:tblInd w:w="0" w:type="dxa"/>
        <w:tblLayout w:type="fixed"/>
        <w:tblCellMar>
          <w:top w:w="28" w:type="dxa"/>
          <w:left w:w="28" w:type="dxa"/>
          <w:bottom w:w="28" w:type="dxa"/>
          <w:right w:w="28" w:type="dxa"/>
        </w:tblCellMar>
      </w:tblPr>
      <w:tblGrid>
        <w:gridCol w:w="3864"/>
        <w:gridCol w:w="146"/>
        <w:gridCol w:w="211"/>
        <w:gridCol w:w="1036"/>
        <w:gridCol w:w="166"/>
        <w:gridCol w:w="146"/>
        <w:gridCol w:w="211"/>
        <w:gridCol w:w="1036"/>
        <w:gridCol w:w="166"/>
        <w:gridCol w:w="146"/>
        <w:gridCol w:w="211"/>
        <w:gridCol w:w="1096"/>
        <w:gridCol w:w="166"/>
        <w:gridCol w:w="146"/>
        <w:gridCol w:w="211"/>
        <w:gridCol w:w="1036"/>
        <w:gridCol w:w="211"/>
      </w:tblGrid>
      <w:tr>
        <w:trPr/>
        <w:tc>
          <w:tcPr>
            <w:tcW w:w="3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(8,899,241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bidi w:val="0"/>
        <w:jc w:val="both"/>
        <w:rPr>
          <w:rFonts w:ascii="Times New Roman" w:hAnsi="Times New Roman"/>
          <w:color w:val="000000"/>
          <w:sz w:val="20"/>
        </w:rPr>
      </w:pPr>
      <w:r>
        <w:rPr>
          <w:rFonts w:ascii="Times New Roman" w:hAnsi="Times New Roman"/>
          <w:color w:val="000000"/>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chapter 11 bankruptcy proceeding of Prime Core Technologies, Inc. (“Prime Core”), on August 14, 2025,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Company was named as a defendant in a proceeding pending in the United States Bankruptcy Court for the District of Delaware (</w:t>
      </w:r>
      <w:r>
        <w:rPr>
          <w:rFonts w:ascii="Times New Roman" w:hAnsi="Times New Roman"/>
          <w:i/>
          <w:color w:val="000000"/>
          <w:sz w:val="20"/>
        </w:rPr>
        <w:t>PCT</w:t>
      </w:r>
    </w:p>
    <w:p>
      <w:pPr>
        <w:pStyle w:val="TextBody"/>
        <w:bidi w:val="0"/>
        <w:jc w:val="both"/>
        <w:rPr>
          <w:rFonts w:ascii="Times New Roman" w:hAnsi="Times New Roman"/>
          <w:sz w:val="20"/>
        </w:rPr>
      </w:pPr>
      <w:r>
        <w:rPr>
          <w:rFonts w:ascii="Times New Roman" w:hAnsi="Times New Roman"/>
          <w:i/>
          <w:color w:val="000000"/>
          <w:sz w:val="20"/>
        </w:rPr>
        <w:t>Litigation Trust v. Fold Holdings, Inc.</w:t>
      </w:r>
      <w:r>
        <w:rPr>
          <w:rFonts w:ascii="Times New Roman" w:hAnsi="Times New Roman"/>
          <w:color w:val="000000"/>
          <w:sz w:val="20"/>
        </w:rPr>
        <w:t xml:space="preserve">, Adv. Pro. No. 25-52024 (JKS)), pursuant to which the litigation trust for Prime Core (“PCT Litigation Trust”) sought avoidance and recovery of alleged preferential transfers.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consolidated financial position, liquidity, capital resources, or annual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Summary of cash flow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 activities:</w:t>
      </w:r>
    </w:p>
    <w:p>
      <w:pPr>
        <w:pStyle w:val="TextBody"/>
        <w:bidi w:val="0"/>
        <w:jc w:val="left"/>
        <w:rPr/>
      </w:pPr>
      <w:r>
        <w:rPr/>
        <w:t> </w:t>
      </w:r>
    </w:p>
    <w:tbl>
      <w:tblPr>
        <w:tblW w:w="7499" w:type="dxa"/>
        <w:jc w:val="left"/>
        <w:tblInd w:w="0" w:type="dxa"/>
        <w:tblLayout w:type="fixed"/>
        <w:tblCellMar>
          <w:top w:w="28" w:type="dxa"/>
          <w:left w:w="28" w:type="dxa"/>
          <w:bottom w:w="28" w:type="dxa"/>
          <w:right w:w="28" w:type="dxa"/>
        </w:tblCellMar>
      </w:tblPr>
      <w:tblGrid>
        <w:gridCol w:w="4216"/>
        <w:gridCol w:w="146"/>
        <w:gridCol w:w="211"/>
        <w:gridCol w:w="1096"/>
        <w:gridCol w:w="166"/>
        <w:gridCol w:w="146"/>
        <w:gridCol w:w="211"/>
        <w:gridCol w:w="109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20,734,582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(11,720,640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cash used in operating activities was $16.0 million compared to $9.0 million for the six months ended June 30, 2025. The increase in cash used was driven primarily by (i) $3.4 million of interest paid in cash; (ii) $2.8 million increase in credit card receivables related to our credit card program; and (iii) increased compensation and benefits, excluding share-based compensation, of $1.2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provided by investing activities increased by $59.4 million from $2.8 million of cash used in investing activities for the six months ended June 30, 2025 to $56.6 million of cash provided by investing activities for the six months ended June 30, 2026, primarily due to the sale of bitcoin from our investment treasury for $59.1 million and a decrease in purchases of digital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and June 30, 2025 cash used in financing activities was $19.9 million and $0 million, respectively. For the six months ended June 30, 2026, we received proceeds from the issuance of the February 2026 Investor Note; however, those proceeds were immediately used to pay off the June 2025 Amended Investor Note. For the six months ended June 30, 2026, cash used in financing increased primarily due to the repayment of the June 2025 Amended Investor Note and repayment of the Credit Facility offset slightly by proceeds received from draws on the Credit Facility and the issuance of shares of Common Stock through the facility. For the six months ended June 30, 2025, we received proceeds from issuance of the March 2025 Investor Note; however, those proceeds were received in bitcoin rather than cash and are therefore not included in cash provided by financing activities.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Off-Balance Sheet Financing Arrangements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no obligations, assets or liabilities, which would be considered off-balance sheet arrangements as of June 30,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into any off-balance sheet financing arrangements, established any special purpose entities, guaranteed any debt or commitments of other entities, or purchased any non-financial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 xml:space="preserve">Material impact: </w:t>
      </w:r>
      <w:r>
        <w:rPr>
          <w:rFonts w:ascii="Times New Roman" w:hAnsi="Times New Roman"/>
          <w:color w:val="000000"/>
          <w:sz w:val="20"/>
        </w:rPr>
        <w:t xml:space="preserve">The accounting estimate must involve a significant degree of estimation uncertainty and have a material impact on the financial condition or operating performance as presented in the financial statements.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120"/>
        <w:jc w:val="both"/>
        <w:rPr/>
      </w:pPr>
      <w:r>
        <w:rPr>
          <w:rFonts w:ascii="Times New Roman" w:hAnsi="Times New Roman"/>
          <w:b/>
          <w:color w:val="000000"/>
          <w:sz w:val="20"/>
        </w:rPr>
        <w:t>Judgment and complexity:</w:t>
      </w:r>
      <w:r>
        <w:rPr>
          <w:color w:val="000000"/>
        </w:rPr>
        <w:t xml:space="preserve"> </w:t>
      </w:r>
      <w:r>
        <w:rPr>
          <w:rFonts w:ascii="Times New Roman" w:hAnsi="Times New Roman"/>
          <w:color w:val="000000"/>
          <w:sz w:val="20"/>
        </w:rPr>
        <w:t>The estimate involves a high degree of judgment and complexity, where changes in the assumptions and estimates could significantly alter the financial portrayal of the company's condition and results.</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extinguished all previously outstanding convertible notes. As a result, the critical accounting estimates related to the fair value of convertible notes, as described in the Company's Annual Report on Form 10-K for the year ended December 31, 2025, are no longer applicable. The critical accounting estimates related to the fair value of SAFEs and pre-Merger stock-based compensation, also described in our Form 10-K, were no longer applicable as of December 31, 2025. As of June 30, 2026, there are no accounting estimates that meet the criteria for disclosure as critical accounting estimates.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360"/>
        <w:jc w:val="both"/>
        <w:rPr>
          <w:rFonts w:ascii="Times New Roman" w:hAnsi="Times New Roman"/>
          <w:sz w:val="20"/>
        </w:rPr>
      </w:pPr>
      <w:r>
        <w:rPr>
          <w:rFonts w:ascii="Times New Roman" w:hAnsi="Times New Roman"/>
          <w:color w:val="000000"/>
          <w:sz w:val="20"/>
        </w:rPr>
        <w:t xml:space="preserve">See “Recently issued accounting pronouncements not yet adopted” and "Recently adopted accounting pronouncements" described in Note 2 of the Financial Statements,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jc w:val="left"/>
        <w:rPr>
          <w:rFonts w:ascii="Times New Roman" w:hAnsi="Times New Roman"/>
          <w:b/>
          <w:color w:val="000000"/>
          <w:sz w:val="20"/>
          <w:u w:val="single"/>
        </w:rPr>
      </w:pPr>
      <w:bookmarkStart w:id="11" w:name="item3_disclosures_about_market_risk"/>
      <w:bookmarkEnd w:id="11"/>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pPr>
      <w:r>
        <w:rPr/>
        <w:t> </w:t>
      </w:r>
    </w:p>
    <w:p>
      <w:pPr>
        <w:pStyle w:val="TextBody"/>
        <w:bidi w:val="0"/>
        <w:spacing w:before="120" w:after="283"/>
        <w:jc w:val="left"/>
        <w:rPr/>
      </w:pPr>
      <w:r>
        <w:rPr/>
        <w:t> </w:t>
      </w:r>
    </w:p>
    <w:p>
      <w:pPr>
        <w:pStyle w:val="TextBody"/>
        <w:bidi w:val="0"/>
        <w:spacing w:before="0" w:after="240"/>
        <w:jc w:val="both"/>
        <w:rPr/>
      </w:pPr>
      <w:r>
        <w:rPr/>
        <w:t> </w:t>
      </w:r>
    </w:p>
    <w:p>
      <w:pPr>
        <w:pStyle w:val="TextBody"/>
        <w:bidi w:val="0"/>
        <w:spacing w:before="120" w:after="283"/>
        <w:jc w:val="both"/>
        <w:rPr>
          <w:rFonts w:ascii="Times New Roman" w:hAnsi="Times New Roman"/>
          <w:b/>
          <w:color w:val="000000"/>
          <w:sz w:val="20"/>
          <w:u w:val="single"/>
        </w:rPr>
      </w:pPr>
      <w:bookmarkStart w:id="12" w:name="item_4_controls_and_procedures"/>
      <w:bookmarkEnd w:id="12"/>
      <w:r>
        <w:rPr>
          <w:rFonts w:ascii="Times New Roman" w:hAnsi="Times New Roman"/>
          <w:b/>
          <w:color w:val="000000"/>
          <w:sz w:val="20"/>
          <w:u w:val="single"/>
        </w:rPr>
        <w:t>Item 4. Controls and Procedures.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Limitations on Effectiveness of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our principal financial officer (our Chief Financial Officer), evaluated the effectiveness of our disclosure controls and procedures (as defined in Rules 13a-15(e) and 15d-15(e) under the Exchange Act) as of June 30, 2026. Based on that evaluation, our Chief Executive Officer and our Chief Financial Officer concluded that, as a result of the material weakness in our internal control over financial reporting described below, the design and operation of our disclosure controls and procedures were not effective as of June 30, 2026.</w:t>
      </w:r>
    </w:p>
    <w:p>
      <w:pPr>
        <w:pStyle w:val="TextBody"/>
        <w:bidi w:val="0"/>
        <w:jc w:val="left"/>
        <w:rPr>
          <w:rFonts w:ascii="Times New Roman" w:hAnsi="Times New Roman"/>
          <w:i/>
          <w:color w:val="000000"/>
          <w:sz w:val="20"/>
        </w:rPr>
      </w:pPr>
      <w:r>
        <w:rPr>
          <w:rFonts w:ascii="Times New Roman" w:hAnsi="Times New Roman"/>
          <w:i/>
          <w:color w:val="000000"/>
          <w:sz w:val="20"/>
        </w:rPr>
        <w:t>Material Weakness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following material weakness in our internal control over financial reporting existed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or operate effective controls surrounding our complex debt and equity transactions.</w:t>
      </w:r>
    </w:p>
    <w:p>
      <w:pPr>
        <w:pStyle w:val="TextBody"/>
        <w:bidi w:val="0"/>
        <w:jc w:val="both"/>
        <w:rPr>
          <w:rFonts w:ascii="Times New Roman" w:hAnsi="Times New Roman"/>
          <w:color w:val="000000"/>
          <w:sz w:val="20"/>
        </w:rPr>
      </w:pPr>
      <w:r>
        <w:rPr>
          <w:rFonts w:ascii="Times New Roman" w:hAnsi="Times New Roman"/>
          <w:color w:val="000000"/>
          <w:sz w:val="20"/>
        </w:rPr>
        <w:t>We have begun the process of, and are focused on, designing and implementing effective internal controls measures to improve our internal control over financial reporting and remediate the material weakness. Our remediation efforts include several actions: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consultants to provide additional depth and breadth in our technical accounting and financial reporting capabilities, including reviews of complex debt and equity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consultants to assist with reviewing our internal controls over financial reporting to address gaps in the design and operating effectiveness of our internal controls, including controls specific to management's review of work performed by third party consultants.</w:t>
      </w:r>
    </w:p>
    <w:p>
      <w:pPr>
        <w:pStyle w:val="TextBody"/>
        <w:bidi w:val="0"/>
        <w:jc w:val="both"/>
        <w:rPr>
          <w:rFonts w:ascii="Times New Roman" w:hAnsi="Times New Roman"/>
          <w:color w:val="000000"/>
          <w:sz w:val="20"/>
        </w:rPr>
      </w:pPr>
      <w:r>
        <w:rPr>
          <w:rFonts w:ascii="Times New Roman" w:hAnsi="Times New Roman"/>
          <w:color w:val="000000"/>
          <w:sz w:val="20"/>
        </w:rPr>
        <w:t>The actions that we are taking are subject to ongoing senior management review, as well as oversight of the audit committee of our Board. We also may conclude that additional measures may be required to remediate the material weakness or determine to modify the remediation plans described above. We will not be able to conclude that we have remediated the material weakness until the applicable controls are fully implemented and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ongoing remediation efforts described above, 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were previously the defendant in a bankruptcy clawback proceeding as described in Part I, Item 2 - Management's Discussion and Analysis of Financial Condition and Results of Operations. On June 30, 2026, we entered into a settlement agreement resolving this matter without any admission of liability, and the related adversary proceeding was dismissed with prejudice.</w:t>
      </w:r>
    </w:p>
    <w:p>
      <w:pPr>
        <w:pStyle w:val="TextBody"/>
        <w:bidi w:val="0"/>
        <w:spacing w:before="360" w:after="283"/>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numerous factors that affect our business and operating results, many of which are beyond our control. Except as set forth below, there have been no material changes to the risk factors previously described in our Annual Report on Form 10-K for the year ended December 31,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common stock may be delisted from The Nasdaq Capital Market if we are unable to regain compliance with Nasdaq’s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On July 14, 2026, we received a written notice from the Listing Qualifications Department of The Nasdaq Stock Market LLC (“Nasdaq”) notifying us that we are not in compliance with Nasdaq Listing Rule 5550(a)(2), which requires listed securities to maintain a minimum bid price of at least $1.00 per share. The notice was based on the closing bid price of our common stock for the 30 consecutive business days from May 28, 2026 through July 13, 2026. The notice has no immediate effect on the listing or trading of our common stock, which continues to trade on The Nasdaq Capital Market under the symbol "FLD."</w:t>
      </w:r>
    </w:p>
    <w:p>
      <w:pPr>
        <w:pStyle w:val="TextBody"/>
        <w:bidi w:val="0"/>
        <w:jc w:val="both"/>
        <w:rPr>
          <w:rFonts w:ascii="Times New Roman" w:hAnsi="Times New Roman"/>
          <w:color w:val="000000"/>
          <w:sz w:val="20"/>
        </w:rPr>
      </w:pPr>
      <w:r>
        <w:rPr>
          <w:rFonts w:ascii="Times New Roman" w:hAnsi="Times New Roman"/>
          <w:color w:val="000000"/>
          <w:sz w:val="20"/>
        </w:rPr>
        <w:t>In accordance with Nasdaq Listing Rule 5810(c)(3)(A), we have been provided an initial period of 180 calendar days, or until January 11, 2027, to regain compliance with the minimum bid price requirement. To regain compliance, the closing bid price of our common stock must be at least $1.00 per share for a minimum of ten consecutive business days during the compliance period, unless Nasdaq exercises its discretion to extend that period. If we choose to implement a reverse stock split to regain compliance, we must complete the split no later than ten business days prior to the expiration of the compliance period.</w:t>
      </w:r>
    </w:p>
    <w:p>
      <w:pPr>
        <w:pStyle w:val="TextBody"/>
        <w:bidi w:val="0"/>
        <w:jc w:val="both"/>
        <w:rPr>
          <w:rFonts w:ascii="Times New Roman" w:hAnsi="Times New Roman"/>
          <w:color w:val="000000"/>
          <w:sz w:val="20"/>
        </w:rPr>
      </w:pPr>
      <w:r>
        <w:rPr>
          <w:rFonts w:ascii="Times New Roman" w:hAnsi="Times New Roman"/>
          <w:color w:val="000000"/>
          <w:sz w:val="20"/>
        </w:rPr>
        <w:t>There can be no assurance that we will regain compliance within the initial compliance period, that we will be eligible for an additional compliance period, or that Nasdaq will grant us additional time to regain compliance. If we are unable to regain compliance, or otherwise fail to maintain compliance with Nasdaq’s continued listing standards, Nasdaq may determine to delist our common stock. Any such delisting would constitute an Event of Default under our February 2026 Investor Note and could materially adversely affect the liquidity and market price of our common stock, impair our ability to raise additional capital on acceptable terms, reduce investor confidence, decrease analyst coverage, and have other adverse effects on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We intend to monitor the closing bid price of our common stock and consider available options to regain compliance, which may include seeking stockholder approval to effect a reverse stock split. There can be no assurance that any action taken by us would be successful or would result in a sustained increase in the market price of our common stock. Even if we regain compliance with the minimum bid price requirement, there can be no assurance that the market price of our common stock will not again fall below $1.00 per share, which could result in our receipt of one or more additional deficiency notices and ultimately in the delisting of our common stock from The Nasdaq Capital Market.</w:t>
      </w:r>
    </w:p>
    <w:p>
      <w:pPr>
        <w:pStyle w:val="TextBody"/>
        <w:bidi w:val="0"/>
        <w:spacing w:before="360" w:after="283"/>
        <w:jc w:val="both"/>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as previously reported by us on our Current Report on Form 8-K, during the period covered by this Quarterly Report on Form 10-Q, the Company did not sell any unregistered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directors and officers (as defined in Rule 16a-1(f) under the Exchange Act) are permitted to trade in the Company’s securities pursuant to a prearranged trading plan intended to satisfy the affirmative defense of Rule 10b5-1(c) under the Exchange Act (a “Rule 10b5-1 Plan”). During the three months ended June 30, 2026, one of the Company’s officers, our Chief Technology Officer, Tom Dickman, adopted a Rule 10b5-1 Plan. The applicable Rule 10b5-1 Plan was entered into during an open trading window, on June 12, 2026, in accordance with the Company’s Insider Trading Policy. Up to 50,000 shares can be sold under Mr. Dickman's 10b5-1 Plan from October 14, 2026 through June 11, 2027.</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146"/>
        <w:gridCol w:w="9260"/>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July 24, 2024, by and among FTAC Emerald Acquisition Corp., FTAC EMLD Merger Sub Inc. and Fold, Inc. (incorporated by reference to Annex A to the Company’s Registration Statement on Form S-4 filed with the SEC on October 7, 2024).</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Certificate of Incorporation of Fold Holdings, Inc. (incorporated by reference to Exhibit 3.1 to the Company’s Current Report on Form 8-K filed with the SEC on February 14, 2025).</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Fold Holdings, Inc. (incorporated by reference to Exhibit 3.2 to the Company’s Current Report on Form 8-K filed with the SEC on February 14, 2025).</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d-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d-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tbl>
      <w:tblPr>
        <w:tblW w:w="2196" w:type="dxa"/>
        <w:jc w:val="left"/>
        <w:tblInd w:w="0" w:type="dxa"/>
        <w:tblLayout w:type="fixed"/>
        <w:tblCellMar>
          <w:top w:w="28" w:type="dxa"/>
          <w:left w:w="28" w:type="dxa"/>
          <w:bottom w:w="28" w:type="dxa"/>
          <w:right w:w="28" w:type="dxa"/>
        </w:tblCellMar>
      </w:tblPr>
      <w:tblGrid>
        <w:gridCol w:w="331"/>
        <w:gridCol w:w="109"/>
        <w:gridCol w:w="1756"/>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59" w:type="dxa"/>
        <w:jc w:val="left"/>
        <w:tblInd w:w="0" w:type="dxa"/>
        <w:tblLayout w:type="fixed"/>
        <w:tblCellMar>
          <w:top w:w="28" w:type="dxa"/>
          <w:left w:w="28" w:type="dxa"/>
          <w:bottom w:w="28" w:type="dxa"/>
          <w:right w:w="28" w:type="dxa"/>
        </w:tblCellMar>
      </w:tblPr>
      <w:tblGrid>
        <w:gridCol w:w="1951"/>
        <w:gridCol w:w="146"/>
        <w:gridCol w:w="406"/>
        <w:gridCol w:w="26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Fold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 Reeves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 Reeves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Wolfe Repass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Wolfe Repass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2" w:name="fld-ex31_1.htm"/>
      <w:bookmarkStart w:id="23" w:name="ksfldex31_1"/>
      <w:bookmarkEnd w:id="22"/>
      <w:bookmarkEnd w:id="23"/>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 Reeves,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Fold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78" w:type="dxa"/>
        <w:jc w:val="left"/>
        <w:tblInd w:w="0" w:type="dxa"/>
        <w:tblLayout w:type="fixed"/>
        <w:tblCellMar>
          <w:top w:w="28" w:type="dxa"/>
          <w:left w:w="28" w:type="dxa"/>
          <w:bottom w:w="28" w:type="dxa"/>
          <w:right w:w="28" w:type="dxa"/>
        </w:tblCellMar>
      </w:tblPr>
      <w:tblGrid>
        <w:gridCol w:w="1951"/>
        <w:gridCol w:w="451"/>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fld-ex31_2.htm"/>
      <w:bookmarkStart w:id="25" w:name="ksfldex31_2"/>
      <w:bookmarkEnd w:id="24"/>
      <w:bookmarkEnd w:id="25"/>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Wolfe Repass,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Fold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rFonts w:ascii="Times New Roman" w:hAnsi="Times New Roman"/>
          <w:color w:val="000000"/>
          <w:sz w:val="20"/>
        </w:rPr>
      </w:pPr>
      <w:r>
        <w:rPr>
          <w:rFonts w:ascii="Times New Roman" w:hAnsi="Times New Roman"/>
          <w:color w:val="000000"/>
          <w:sz w:val="20"/>
        </w:rPr>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fld-ex32_1.htm"/>
      <w:bookmarkStart w:id="27" w:name="ksfld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30, 2026 of Fold Holdings, Inc., a Delaware corporation (the “Company”) as filed with the Securities and Exchange Commission on the date hereof (the “Quarterly Report”), I, Will Reeves, do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Fold Holdings, Inc.</w:t>
      </w:r>
    </w:p>
    <w:p>
      <w:pPr>
        <w:pStyle w:val="TextBody"/>
        <w:bidi w:val="0"/>
        <w:jc w:val="left"/>
        <w:rPr/>
      </w:pPr>
      <w:r>
        <w:rPr/>
        <w:t> </w:t>
      </w:r>
    </w:p>
    <w:tbl>
      <w:tblPr>
        <w:tblW w:w="4833" w:type="dxa"/>
        <w:jc w:val="left"/>
        <w:tblInd w:w="0" w:type="dxa"/>
        <w:tblLayout w:type="fixed"/>
        <w:tblCellMar>
          <w:top w:w="28" w:type="dxa"/>
          <w:left w:w="28" w:type="dxa"/>
          <w:bottom w:w="28" w:type="dxa"/>
          <w:right w:w="28" w:type="dxa"/>
        </w:tblCellMar>
      </w:tblPr>
      <w:tblGrid>
        <w:gridCol w:w="1951"/>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Fold Holdings, Inc. and will be retained by Fold Holdings, Inc. and furnished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fld-ex32_2.htm"/>
      <w:bookmarkStart w:id="29" w:name="ksfld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30, 2026 of Fold Holdings, Inc., a Delaware corporation (the “Company”) as filed with the Securities and Exchange Commission on the date hereof (the “Quarterly Report”), I, Wolfe Repass, do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Fold Holdings, Inc.</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Fold Holdings, Inc. and will be retained by Fold Holdings, Inc.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787441/000121390024085654/ea0212543-01.htm" TargetMode="External"/><Relationship Id="rId3" Type="http://schemas.openxmlformats.org/officeDocument/2006/relationships/hyperlink" Target="https://www.sec.gov/Archives/edgar/data/1889123/000121390025014354/ea023010901ex3-1_fold.htm" TargetMode="External"/><Relationship Id="rId4" Type="http://schemas.openxmlformats.org/officeDocument/2006/relationships/hyperlink" Target="https://www.sec.gov/Archives/edgar/data/1889123/000121390025014354/ea023010901ex3-2_fol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30865</Words>
  <Characters>167776</Characters>
  <CharactersWithSpaces>199776</CharactersWithSpaces>
  <Paragraphs>6688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