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0002057455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Reeves William Brian Poppic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5304</w:t>
            </w:r>
          </w:p>
        </w:tc>
        <w:tc>
          <w:tcPr>
            <w:tcW w:w="1377" w:type="dxa"/>
            <w:tcBorders/>
            <w:vAlign w:val="center"/>
          </w:tcPr>
          <w:p>
            <w:pPr>
              <w:pStyle w:val="TableContents"/>
              <w:bidi w:val="0"/>
              <w:spacing w:before="0" w:after="283"/>
              <w:jc w:val="left"/>
              <w:rPr/>
            </w:pPr>
            <w:r>
              <w:rPr/>
              <w:t>2813.24</w:t>
            </w:r>
          </w:p>
        </w:tc>
        <w:tc>
          <w:tcPr>
            <w:tcW w:w="1552" w:type="dxa"/>
            <w:tcBorders/>
            <w:vAlign w:val="center"/>
          </w:tcPr>
          <w:p>
            <w:pPr>
              <w:pStyle w:val="TableContents"/>
              <w:bidi w:val="0"/>
              <w:spacing w:before="0" w:after="283"/>
              <w:jc w:val="left"/>
              <w:rPr/>
            </w:pPr>
            <w:r>
              <w:rPr/>
              <w:t>55077187</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5304</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07/02/2026</w:t>
            </w:r>
          </w:p>
        </w:tc>
        <w:tc>
          <w:tcPr>
            <w:tcW w:w="1582" w:type="dxa"/>
            <w:tcBorders/>
            <w:vAlign w:val="center"/>
          </w:tcPr>
          <w:p>
            <w:pPr>
              <w:pStyle w:val="TableContents"/>
              <w:bidi w:val="0"/>
              <w:spacing w:before="0" w:after="283"/>
              <w:jc w:val="left"/>
              <w:rPr/>
            </w:pPr>
            <w:r>
              <w:rPr/>
              <w:t>4868</w:t>
            </w:r>
          </w:p>
        </w:tc>
        <w:tc>
          <w:tcPr>
            <w:tcW w:w="1711" w:type="dxa"/>
            <w:tcBorders/>
            <w:vAlign w:val="center"/>
          </w:tcPr>
          <w:p>
            <w:pPr>
              <w:pStyle w:val="TableContents"/>
              <w:bidi w:val="0"/>
              <w:spacing w:before="0" w:after="283"/>
              <w:jc w:val="left"/>
              <w:rPr/>
            </w:pPr>
            <w:r>
              <w:rPr/>
              <w:t>2396.51</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5082</w:t>
            </w:r>
          </w:p>
        </w:tc>
        <w:tc>
          <w:tcPr>
            <w:tcW w:w="1711" w:type="dxa"/>
            <w:tcBorders/>
            <w:vAlign w:val="center"/>
          </w:tcPr>
          <w:p>
            <w:pPr>
              <w:pStyle w:val="TableContents"/>
              <w:bidi w:val="0"/>
              <w:spacing w:before="0" w:after="283"/>
              <w:jc w:val="left"/>
              <w:rPr/>
            </w:pPr>
            <w:r>
              <w:rPr/>
              <w:t>2386.51</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08/18/2026</w:t>
            </w:r>
          </w:p>
        </w:tc>
        <w:tc>
          <w:tcPr>
            <w:tcW w:w="1582" w:type="dxa"/>
            <w:tcBorders/>
            <w:vAlign w:val="center"/>
          </w:tcPr>
          <w:p>
            <w:pPr>
              <w:pStyle w:val="TableContents"/>
              <w:bidi w:val="0"/>
              <w:spacing w:before="0" w:after="283"/>
              <w:jc w:val="left"/>
              <w:rPr/>
            </w:pPr>
            <w:r>
              <w:rPr/>
              <w:t>9616</w:t>
            </w:r>
          </w:p>
        </w:tc>
        <w:tc>
          <w:tcPr>
            <w:tcW w:w="1711" w:type="dxa"/>
            <w:tcBorders/>
            <w:vAlign w:val="center"/>
          </w:tcPr>
          <w:p>
            <w:pPr>
              <w:pStyle w:val="TableContents"/>
              <w:bidi w:val="0"/>
              <w:spacing w:before="0" w:after="283"/>
              <w:jc w:val="left"/>
              <w:rPr/>
            </w:pPr>
            <w:r>
              <w:rPr/>
              <w:t>4340.09</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08/19/2026</w:t>
            </w:r>
          </w:p>
        </w:tc>
        <w:tc>
          <w:tcPr>
            <w:tcW w:w="1582" w:type="dxa"/>
            <w:tcBorders/>
            <w:vAlign w:val="center"/>
          </w:tcPr>
          <w:p>
            <w:pPr>
              <w:pStyle w:val="TableContents"/>
              <w:bidi w:val="0"/>
              <w:spacing w:before="0" w:after="283"/>
              <w:jc w:val="left"/>
              <w:rPr/>
            </w:pPr>
            <w:r>
              <w:rPr/>
              <w:t>9480</w:t>
            </w:r>
          </w:p>
        </w:tc>
        <w:tc>
          <w:tcPr>
            <w:tcW w:w="1711" w:type="dxa"/>
            <w:tcBorders/>
            <w:vAlign w:val="center"/>
          </w:tcPr>
          <w:p>
            <w:pPr>
              <w:pStyle w:val="TableContents"/>
              <w:bidi w:val="0"/>
              <w:spacing w:before="0" w:after="283"/>
              <w:jc w:val="left"/>
              <w:rPr/>
            </w:pPr>
            <w:r>
              <w:rPr/>
              <w:t>4284.96</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08/20/2026</w:t>
            </w:r>
          </w:p>
        </w:tc>
        <w:tc>
          <w:tcPr>
            <w:tcW w:w="1582" w:type="dxa"/>
            <w:tcBorders/>
            <w:vAlign w:val="center"/>
          </w:tcPr>
          <w:p>
            <w:pPr>
              <w:pStyle w:val="TableContents"/>
              <w:bidi w:val="0"/>
              <w:spacing w:before="0" w:after="283"/>
              <w:jc w:val="left"/>
              <w:rPr/>
            </w:pPr>
            <w:r>
              <w:rPr/>
              <w:t>8911</w:t>
            </w:r>
          </w:p>
        </w:tc>
        <w:tc>
          <w:tcPr>
            <w:tcW w:w="1711" w:type="dxa"/>
            <w:tcBorders/>
            <w:vAlign w:val="center"/>
          </w:tcPr>
          <w:p>
            <w:pPr>
              <w:pStyle w:val="TableContents"/>
              <w:bidi w:val="0"/>
              <w:spacing w:before="0" w:after="283"/>
              <w:jc w:val="left"/>
              <w:rPr/>
            </w:pPr>
            <w:r>
              <w:rPr/>
              <w:t>4238.07</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08/21/2026</w:t>
            </w:r>
          </w:p>
        </w:tc>
        <w:tc>
          <w:tcPr>
            <w:tcW w:w="1582" w:type="dxa"/>
            <w:tcBorders/>
            <w:vAlign w:val="center"/>
          </w:tcPr>
          <w:p>
            <w:pPr>
              <w:pStyle w:val="TableContents"/>
              <w:bidi w:val="0"/>
              <w:spacing w:before="0" w:after="283"/>
              <w:jc w:val="left"/>
              <w:rPr/>
            </w:pPr>
            <w:r>
              <w:rPr/>
              <w:t>10045</w:t>
            </w:r>
          </w:p>
        </w:tc>
        <w:tc>
          <w:tcPr>
            <w:tcW w:w="1711" w:type="dxa"/>
            <w:tcBorders/>
            <w:vAlign w:val="center"/>
          </w:tcPr>
          <w:p>
            <w:pPr>
              <w:pStyle w:val="TableContents"/>
              <w:bidi w:val="0"/>
              <w:spacing w:before="0" w:after="283"/>
              <w:jc w:val="left"/>
              <w:rPr/>
            </w:pPr>
            <w:r>
              <w:rPr/>
              <w:t>4896.94</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08/24/2026</w:t>
            </w:r>
          </w:p>
        </w:tc>
        <w:tc>
          <w:tcPr>
            <w:tcW w:w="1582" w:type="dxa"/>
            <w:tcBorders/>
            <w:vAlign w:val="center"/>
          </w:tcPr>
          <w:p>
            <w:pPr>
              <w:pStyle w:val="TableContents"/>
              <w:bidi w:val="0"/>
              <w:spacing w:before="0" w:after="283"/>
              <w:jc w:val="left"/>
              <w:rPr/>
            </w:pPr>
            <w:r>
              <w:rPr/>
              <w:t>8905</w:t>
            </w:r>
          </w:p>
        </w:tc>
        <w:tc>
          <w:tcPr>
            <w:tcW w:w="1711" w:type="dxa"/>
            <w:tcBorders/>
            <w:vAlign w:val="center"/>
          </w:tcPr>
          <w:p>
            <w:pPr>
              <w:pStyle w:val="TableContents"/>
              <w:bidi w:val="0"/>
              <w:spacing w:before="0" w:after="283"/>
              <w:jc w:val="left"/>
              <w:rPr/>
            </w:pPr>
            <w:r>
              <w:rPr/>
              <w:t>4255.70</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08/25/2026</w:t>
            </w:r>
          </w:p>
        </w:tc>
        <w:tc>
          <w:tcPr>
            <w:tcW w:w="1582" w:type="dxa"/>
            <w:tcBorders/>
            <w:vAlign w:val="center"/>
          </w:tcPr>
          <w:p>
            <w:pPr>
              <w:pStyle w:val="TableContents"/>
              <w:bidi w:val="0"/>
              <w:spacing w:before="0" w:after="283"/>
              <w:jc w:val="left"/>
              <w:rPr/>
            </w:pPr>
            <w:r>
              <w:rPr/>
              <w:t>9427</w:t>
            </w:r>
          </w:p>
        </w:tc>
        <w:tc>
          <w:tcPr>
            <w:tcW w:w="1711" w:type="dxa"/>
            <w:tcBorders/>
            <w:vAlign w:val="center"/>
          </w:tcPr>
          <w:p>
            <w:pPr>
              <w:pStyle w:val="TableContents"/>
              <w:bidi w:val="0"/>
              <w:spacing w:before="0" w:after="283"/>
              <w:jc w:val="left"/>
              <w:rPr/>
            </w:pPr>
            <w:r>
              <w:rPr/>
              <w:t>4672.02</w:t>
            </w:r>
          </w:p>
        </w:tc>
      </w:tr>
      <w:tr>
        <w:trPr/>
        <w:tc>
          <w:tcPr>
            <w:tcW w:w="2934" w:type="dxa"/>
            <w:tcBorders/>
            <w:vAlign w:val="center"/>
          </w:tcPr>
          <w:p>
            <w:pPr>
              <w:pStyle w:val="TableContents"/>
              <w:bidi w:val="0"/>
              <w:spacing w:before="0" w:after="283"/>
              <w:jc w:val="left"/>
              <w:rPr/>
            </w:pPr>
            <w:r>
              <w:rPr/>
              <w:t>William Reeves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09/02/2026</w:t>
            </w:r>
          </w:p>
        </w:tc>
        <w:tc>
          <w:tcPr>
            <w:tcW w:w="1582" w:type="dxa"/>
            <w:tcBorders/>
            <w:vAlign w:val="center"/>
          </w:tcPr>
          <w:p>
            <w:pPr>
              <w:pStyle w:val="TableContents"/>
              <w:bidi w:val="0"/>
              <w:spacing w:before="0" w:after="283"/>
              <w:jc w:val="left"/>
              <w:rPr/>
            </w:pPr>
            <w:r>
              <w:rPr/>
              <w:t>5781</w:t>
            </w:r>
          </w:p>
        </w:tc>
        <w:tc>
          <w:tcPr>
            <w:tcW w:w="1711" w:type="dxa"/>
            <w:tcBorders/>
            <w:vAlign w:val="center"/>
          </w:tcPr>
          <w:p>
            <w:pPr>
              <w:pStyle w:val="TableContents"/>
              <w:bidi w:val="0"/>
              <w:spacing w:before="0" w:after="283"/>
              <w:jc w:val="left"/>
              <w:rPr/>
            </w:pPr>
            <w:r>
              <w:rPr/>
              <w:t>2640.18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Gary Redman, as a duly authorized representative of Fidelity Brokerage Services LLC, as attorney-in-fact for William Reeves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4000</Characters>
  <CharactersWithSpaces>4702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