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Reeves William Brian Poppic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2942 NORTH 24TH ST, SUITE 115, #42035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Fold Holdings, Inc.</w:t>
              </w:r>
            </w:hyperlink>
            <w:r>
              <w:rPr/>
              <w:t xml:space="preserve"> [ </w:t>
            </w:r>
            <w:r>
              <w:rPr>
                <w:rFonts w:ascii="Times;serif" w:hAnsi="Times;serif"/>
                <w:color w:val="0000FF"/>
                <w:sz w:val="24"/>
                <w:shd w:fill="FFFFFF" w:val="clear"/>
              </w:rPr>
              <w:t>FLD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667"/>
        <w:gridCol w:w="1275"/>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5,440,003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11,548</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5,451,551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0.53</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5,451,098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0.53</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5,446,247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11,548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23,097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Mr. Reeves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Mr. Reeves.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 as to one-fourth of the underlying shares beginning on October 1, 2023 and thereafter in 48 equal monthly installments, subject to Mr. Reeves' continued service through the applicable vesting date and a liquidity event vesting condition. The liquidity event vesting condition was deemed met upon the merger of Legacy Fold, Issuer and FTAC EMLD Merger Sub Inc. on February 14, 2025 (the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received as part of the Issuer's business combination, in connection with that certain Agreement and Plan of Merger, dated as of July 24, 2024 (the "Merger Agreement"), by and among the Issuer (formerly FTAC Emerald Acquisition Corp.), FTAC EMLD Merger Sub Inc. and Fold, Inc. ("Legacy Fold"), pursuant to which each outstanding Legacy Fold RSU Award was automatically converted into an award of restricted stock units covering a number of shares of the Issuer's Common Stock based on the exchange ratio described in the Issuer's Registration Statement on Form S-4, as amended (Reg. No. 333-282520).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stock units vest as to one-fourth of the underlying shares beginning on December 1, 2023 and thereafter in 48 equal monthly installments, subject to Mr. Reeves' continued service through the applicable vesting date and a liquidity event vesting condition. The liquidity event vesting condition was deemed met upon the Merger.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(incorporated by reference to Exhibit 24 to the Reporting Person's Form 4 filed on February 20,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Audrey Bartosh,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7455" TargetMode="External"/><Relationship Id="rId5" Type="http://schemas.openxmlformats.org/officeDocument/2006/relationships/hyperlink" Target="http://www.sec.gov/cgi-bin/browse-edgar?action=getcompany&amp;CIK=00018891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948</Words>
  <Characters>5077</Characters>
  <CharactersWithSpaces>5903</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