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Repass Wolfe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2942 NORTH 24TH ST, SUITE 115, #42035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Fold Holdings, Inc.</w:t>
              </w:r>
            </w:hyperlink>
            <w:r>
              <w:rPr/>
              <w:t xml:space="preserve"> [ </w:t>
            </w:r>
            <w:r>
              <w:rPr>
                <w:rFonts w:ascii="Times;serif" w:hAnsi="Times;serif"/>
                <w:color w:val="0000FF"/>
                <w:sz w:val="24"/>
                <w:shd w:fill="FFFFFF" w:val="clear"/>
              </w:rPr>
              <w:t>FLD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2,639</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739,789</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739,806</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1,540</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741,346</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0.53</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741,341</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774</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0.53</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740,567</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0.53</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740,115</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13,194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1,540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30,796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Mr. Repass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Mr. Repass.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vest as to one-fourth of the underlying shares beginning on March 1, 2024 and thereafter in 48 equal monthly installments, subject to Mr. Repass' continued service through the applicable vesting date and a liquidity event vesting condition. The liquidity event vesting condition was satisfied upon the merger described in Footnote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received as part of the Issuer's business combination, in connection with that certain Agreement and Plan of Merger, dated as of July 24, 2024 (the "Merger Agreement"), by and among the Issuer (formerly FTAC Emerald Acquisition Corp.), FTAC EMLD Merger Sub Inc. and Fold, Inc. ("Legacy Fold"), pursuant to which each outstanding Legacy Fold RSU Award was automatically converted into an award of restricted stock units covering a number of shares of the Issuer's Common Stock based on the exchange ratio described in the Issuer's Registration Statement on Form S-4, as amended (Reg. No. 333-282520).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restricted stock units vest as to one-fourth of the underlying shares beginning on September 1, 2024 and thereafter in 48 equal monthly installments, subject to Mr. Repass' continued service through the applicable vesting date and a liquidity event vesting condition. The liquidity event vesting condition was deemed met upon the Merger.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restricted stock units vest as to one-fourth of the underlying shares beginning on June 1, 2025 and thereafter in 48 equal monthly installments, subject to Mr. Repass' continued service through the applicable vesting date and a liquidity event vesting condition.The liquidity event vesting condition was deemed met upon the Merger.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(incorporated by reference to the Power of Attorney filed as Exhibit 24 to the Form 4 filed by Mr. Repass on February 20,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Audrey Bartosh,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7456" TargetMode="External"/><Relationship Id="rId5" Type="http://schemas.openxmlformats.org/officeDocument/2006/relationships/hyperlink" Target="http://www.sec.gov/cgi-bin/browse-edgar?action=getcompany&amp;CIK=00018891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1025</Words>
  <Characters>5446</Characters>
  <CharactersWithSpaces>6320</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