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Repass Wolfe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736,936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736,953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738,492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738,487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737,643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737,150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32,336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Repass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Repass.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March 1, 2024 and thereafter in 48 equal monthly installments, subject to Mr. Repass' continued service through the applicable vesting date and a liquidity event vesting condition. The liquidity event vesting condition was satisfied upon the merger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September 1, 2024 and thereafter in 48 equal monthly installments, subject to Mr. Repass' continued service through the applicable vesting date and a liquidity event vesting condition. The liquidity event vesting condition was deemed met upon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restricted stock units vest as to one-fourth of the underlying shares beginning on June 1, 2025 and thereafter in 48 equal monthly installments, subject to Mr. Repass' continued service through the applicable vesting date and a liquidity event vesting condition.The liquidity event vesting condition was deemed met upon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the Power of Attorney filed as Exhibit 24 to the Form 4 filed by Mr. Repass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56"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5449</Characters>
  <CharactersWithSpaces>6323</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