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0002057456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Repass Wolfe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1231</w:t>
            </w:r>
          </w:p>
        </w:tc>
        <w:tc>
          <w:tcPr>
            <w:tcW w:w="1377" w:type="dxa"/>
            <w:tcBorders/>
            <w:vAlign w:val="center"/>
          </w:tcPr>
          <w:p>
            <w:pPr>
              <w:pStyle w:val="TableContents"/>
              <w:bidi w:val="0"/>
              <w:spacing w:before="0" w:after="283"/>
              <w:jc w:val="left"/>
              <w:rPr/>
            </w:pPr>
            <w:r>
              <w:rPr/>
              <w:t>652.92</w:t>
            </w:r>
          </w:p>
        </w:tc>
        <w:tc>
          <w:tcPr>
            <w:tcW w:w="1552" w:type="dxa"/>
            <w:tcBorders/>
            <w:vAlign w:val="center"/>
          </w:tcPr>
          <w:p>
            <w:pPr>
              <w:pStyle w:val="TableContents"/>
              <w:bidi w:val="0"/>
              <w:spacing w:before="0" w:after="283"/>
              <w:jc w:val="left"/>
              <w:rPr/>
            </w:pPr>
            <w:r>
              <w:rPr/>
              <w:t>55077187</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1231</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07/02/2026</w:t>
            </w:r>
          </w:p>
        </w:tc>
        <w:tc>
          <w:tcPr>
            <w:tcW w:w="1582" w:type="dxa"/>
            <w:tcBorders/>
            <w:vAlign w:val="center"/>
          </w:tcPr>
          <w:p>
            <w:pPr>
              <w:pStyle w:val="TableContents"/>
              <w:bidi w:val="0"/>
              <w:spacing w:before="0" w:after="283"/>
              <w:jc w:val="left"/>
              <w:rPr/>
            </w:pPr>
            <w:r>
              <w:rPr/>
              <w:t>1131</w:t>
            </w:r>
          </w:p>
        </w:tc>
        <w:tc>
          <w:tcPr>
            <w:tcW w:w="1711" w:type="dxa"/>
            <w:tcBorders/>
            <w:vAlign w:val="center"/>
          </w:tcPr>
          <w:p>
            <w:pPr>
              <w:pStyle w:val="TableContents"/>
              <w:bidi w:val="0"/>
              <w:spacing w:before="0" w:after="283"/>
              <w:jc w:val="left"/>
              <w:rPr/>
            </w:pPr>
            <w:r>
              <w:rPr/>
              <w:t>556.79</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1180</w:t>
            </w:r>
          </w:p>
        </w:tc>
        <w:tc>
          <w:tcPr>
            <w:tcW w:w="1711" w:type="dxa"/>
            <w:tcBorders/>
            <w:vAlign w:val="center"/>
          </w:tcPr>
          <w:p>
            <w:pPr>
              <w:pStyle w:val="TableContents"/>
              <w:bidi w:val="0"/>
              <w:spacing w:before="0" w:after="283"/>
              <w:jc w:val="left"/>
              <w:rPr/>
            </w:pPr>
            <w:r>
              <w:rPr/>
              <w:t>554.13</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08/18/2026</w:t>
            </w:r>
          </w:p>
        </w:tc>
        <w:tc>
          <w:tcPr>
            <w:tcW w:w="1582" w:type="dxa"/>
            <w:tcBorders/>
            <w:vAlign w:val="center"/>
          </w:tcPr>
          <w:p>
            <w:pPr>
              <w:pStyle w:val="TableContents"/>
              <w:bidi w:val="0"/>
              <w:spacing w:before="0" w:after="283"/>
              <w:jc w:val="left"/>
              <w:rPr/>
            </w:pPr>
            <w:r>
              <w:rPr/>
              <w:t>2877</w:t>
            </w:r>
          </w:p>
        </w:tc>
        <w:tc>
          <w:tcPr>
            <w:tcW w:w="1711" w:type="dxa"/>
            <w:tcBorders/>
            <w:vAlign w:val="center"/>
          </w:tcPr>
          <w:p>
            <w:pPr>
              <w:pStyle w:val="TableContents"/>
              <w:bidi w:val="0"/>
              <w:spacing w:before="0" w:after="283"/>
              <w:jc w:val="left"/>
              <w:rPr/>
            </w:pPr>
            <w:r>
              <w:rPr/>
              <w:t>1298.10</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09/02/2026</w:t>
            </w:r>
          </w:p>
        </w:tc>
        <w:tc>
          <w:tcPr>
            <w:tcW w:w="1582" w:type="dxa"/>
            <w:tcBorders/>
            <w:vAlign w:val="center"/>
          </w:tcPr>
          <w:p>
            <w:pPr>
              <w:pStyle w:val="TableContents"/>
              <w:bidi w:val="0"/>
              <w:spacing w:before="0" w:after="283"/>
              <w:jc w:val="left"/>
              <w:rPr/>
            </w:pPr>
            <w:r>
              <w:rPr/>
              <w:t>1342</w:t>
            </w:r>
          </w:p>
        </w:tc>
        <w:tc>
          <w:tcPr>
            <w:tcW w:w="1711" w:type="dxa"/>
            <w:tcBorders/>
            <w:vAlign w:val="center"/>
          </w:tcPr>
          <w:p>
            <w:pPr>
              <w:pStyle w:val="TableContents"/>
              <w:bidi w:val="0"/>
              <w:spacing w:before="0" w:after="283"/>
              <w:jc w:val="left"/>
              <w:rPr/>
            </w:pPr>
            <w:r>
              <w:rPr/>
              <w:t>612.88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 Joshua Schmitt, as a duly authorized representative of Fidelity Brokerage Services LLC, as attorney-in-fact for Wolfe Repass.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3509</Characters>
  <CharactersWithSpaces>4132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