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637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63765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Repass Wolfe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2942 NORTH 24TH ST, SUITE 115, #42035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Fold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FLD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17"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right"/>
              <w:ind w:right="152"/>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PHOENIX</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AZ</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85016</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58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06/01/2026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center"/>
              <w:ind w:left="131"/>
              <w:spacing w:after="0"/>
              <w:rPr>
                <w:sz w:val="20"/>
                <w:szCs w:val="20"/>
                <w:color w:val="auto"/>
              </w:rPr>
            </w:pPr>
            <w:r>
              <w:rPr>
                <w:rFonts w:ascii="Times New Roman" w:cs="Times New Roman" w:eastAsia="Times New Roman" w:hAnsi="Times New Roman"/>
                <w:sz w:val="17"/>
                <w:szCs w:val="17"/>
                <w:color w:val="0000FF"/>
                <w:w w:val="99"/>
              </w:rPr>
              <w:t>2,639</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2"/>
              <w:spacing w:after="0"/>
              <w:rPr>
                <w:sz w:val="20"/>
                <w:szCs w:val="20"/>
                <w:color w:val="auto"/>
              </w:rPr>
            </w:pPr>
            <w:r>
              <w:rPr>
                <w:rFonts w:ascii="Times New Roman" w:cs="Times New Roman" w:eastAsia="Times New Roman" w:hAnsi="Times New Roman"/>
                <w:sz w:val="11"/>
                <w:szCs w:val="11"/>
                <w:color w:val="008000"/>
                <w:w w:val="93"/>
              </w:rPr>
              <w:t>(1)</w:t>
            </w:r>
          </w:p>
        </w:tc>
        <w:tc>
          <w:tcPr>
            <w:tcW w:w="1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730,847</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06/01/2026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center"/>
              <w:ind w:left="111"/>
              <w:spacing w:after="0"/>
              <w:rPr>
                <w:sz w:val="20"/>
                <w:szCs w:val="20"/>
                <w:color w:val="auto"/>
              </w:rPr>
            </w:pPr>
            <w:r>
              <w:rPr>
                <w:rFonts w:ascii="Times New Roman" w:cs="Times New Roman" w:eastAsia="Times New Roman" w:hAnsi="Times New Roman"/>
                <w:sz w:val="17"/>
                <w:szCs w:val="17"/>
                <w:color w:val="0000FF"/>
                <w:w w:val="93"/>
              </w:rPr>
              <w:t>17</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2"/>
              <w:spacing w:after="0"/>
              <w:rPr>
                <w:sz w:val="20"/>
                <w:szCs w:val="20"/>
                <w:color w:val="auto"/>
              </w:rPr>
            </w:pPr>
            <w:r>
              <w:rPr>
                <w:rFonts w:ascii="Times New Roman" w:cs="Times New Roman" w:eastAsia="Times New Roman" w:hAnsi="Times New Roman"/>
                <w:sz w:val="11"/>
                <w:szCs w:val="11"/>
                <w:color w:val="008000"/>
                <w:w w:val="93"/>
              </w:rPr>
              <w:t>(1)</w:t>
            </w:r>
          </w:p>
        </w:tc>
        <w:tc>
          <w:tcPr>
            <w:tcW w:w="1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730,864</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06/01/2026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center"/>
              <w:ind w:left="131"/>
              <w:spacing w:after="0"/>
              <w:rPr>
                <w:sz w:val="20"/>
                <w:szCs w:val="20"/>
                <w:color w:val="auto"/>
              </w:rPr>
            </w:pPr>
            <w:r>
              <w:rPr>
                <w:rFonts w:ascii="Times New Roman" w:cs="Times New Roman" w:eastAsia="Times New Roman" w:hAnsi="Times New Roman"/>
                <w:sz w:val="17"/>
                <w:szCs w:val="17"/>
                <w:color w:val="0000FF"/>
                <w:w w:val="99"/>
              </w:rPr>
              <w:t>1,540</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2"/>
              <w:spacing w:after="0"/>
              <w:rPr>
                <w:sz w:val="20"/>
                <w:szCs w:val="20"/>
                <w:color w:val="auto"/>
              </w:rPr>
            </w:pPr>
            <w:r>
              <w:rPr>
                <w:rFonts w:ascii="Times New Roman" w:cs="Times New Roman" w:eastAsia="Times New Roman" w:hAnsi="Times New Roman"/>
                <w:sz w:val="11"/>
                <w:szCs w:val="11"/>
                <w:color w:val="008000"/>
                <w:w w:val="93"/>
              </w:rPr>
              <w:t>(1)</w:t>
            </w:r>
          </w:p>
        </w:tc>
        <w:tc>
          <w:tcPr>
            <w:tcW w:w="1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732,404</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06/02/2026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3"/>
              </w:rPr>
              <w:t>480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0.905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731,924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06/02/2026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3"/>
              </w:rPr>
              <w:t>824</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0.905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731,100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06/02/2026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3"/>
              </w:rPr>
              <w:t>6</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0.905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731,094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2,639</w:t>
            </w:r>
          </w:p>
        </w:tc>
        <w:tc>
          <w:tcPr>
            <w:tcW w:w="180" w:type="dxa"/>
            <w:vAlign w:val="bottom"/>
          </w:tcPr>
          <w:p>
            <w:pPr>
              <w:spacing w:after="0"/>
              <w:rPr>
                <w:sz w:val="15"/>
                <w:szCs w:val="15"/>
                <w:color w:val="auto"/>
              </w:rPr>
            </w:pPr>
          </w:p>
        </w:tc>
        <w:tc>
          <w:tcPr>
            <w:tcW w:w="600" w:type="dxa"/>
            <w:vAlign w:val="bottom"/>
            <w:vMerge w:val="restart"/>
          </w:tcPr>
          <w:p>
            <w:pPr>
              <w:jc w:val="center"/>
              <w:ind w:right="173"/>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jc w:val="center"/>
              <w:ind w:left="200"/>
              <w:spacing w:after="0" w:line="143" w:lineRule="exact"/>
              <w:rPr>
                <w:sz w:val="20"/>
                <w:szCs w:val="20"/>
                <w:color w:val="auto"/>
              </w:rPr>
            </w:pPr>
            <w:r>
              <w:rPr>
                <w:rFonts w:ascii="Times New Roman" w:cs="Times New Roman" w:eastAsia="Times New Roman" w:hAnsi="Times New Roman"/>
                <w:sz w:val="13"/>
                <w:szCs w:val="13"/>
                <w:color w:val="0000FF"/>
              </w:rPr>
              <w:t>2,639</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restart"/>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rPr>
              <w:t>23,749</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(6)</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17</w:t>
            </w:r>
          </w:p>
        </w:tc>
        <w:tc>
          <w:tcPr>
            <w:tcW w:w="180" w:type="dxa"/>
            <w:vAlign w:val="bottom"/>
          </w:tcPr>
          <w:p>
            <w:pPr>
              <w:spacing w:after="0"/>
              <w:rPr>
                <w:sz w:val="15"/>
                <w:szCs w:val="15"/>
                <w:color w:val="auto"/>
              </w:rPr>
            </w:pPr>
          </w:p>
        </w:tc>
        <w:tc>
          <w:tcPr>
            <w:tcW w:w="600" w:type="dxa"/>
            <w:vAlign w:val="bottom"/>
            <w:vMerge w:val="restart"/>
          </w:tcPr>
          <w:p>
            <w:pPr>
              <w:jc w:val="center"/>
              <w:ind w:right="173"/>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w w:val="91"/>
              </w:rPr>
              <w:t>17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restart"/>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rPr>
              <w:t>258</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(7)</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1,540</w:t>
            </w:r>
          </w:p>
        </w:tc>
        <w:tc>
          <w:tcPr>
            <w:tcW w:w="180" w:type="dxa"/>
            <w:vAlign w:val="bottom"/>
          </w:tcPr>
          <w:p>
            <w:pPr>
              <w:spacing w:after="0"/>
              <w:rPr>
                <w:sz w:val="15"/>
                <w:szCs w:val="15"/>
                <w:color w:val="auto"/>
              </w:rPr>
            </w:pPr>
          </w:p>
        </w:tc>
        <w:tc>
          <w:tcPr>
            <w:tcW w:w="600" w:type="dxa"/>
            <w:vAlign w:val="bottom"/>
            <w:vMerge w:val="restart"/>
          </w:tcPr>
          <w:p>
            <w:pPr>
              <w:jc w:val="center"/>
              <w:ind w:right="173"/>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jc w:val="center"/>
              <w:ind w:left="200"/>
              <w:spacing w:after="0" w:line="143" w:lineRule="exact"/>
              <w:rPr>
                <w:sz w:val="20"/>
                <w:szCs w:val="20"/>
                <w:color w:val="auto"/>
              </w:rPr>
            </w:pPr>
            <w:r>
              <w:rPr>
                <w:rFonts w:ascii="Times New Roman" w:cs="Times New Roman" w:eastAsia="Times New Roman" w:hAnsi="Times New Roman"/>
                <w:sz w:val="13"/>
                <w:szCs w:val="13"/>
                <w:color w:val="0000FF"/>
              </w:rPr>
              <w:t>1,540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restart"/>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rPr>
              <w:t>36,955</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-2818765</wp:posOffset>
            </wp:positionV>
            <wp:extent cx="29210" cy="282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3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Mr. Repass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Mr. Repass.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as to one-fourth of the underlying shares beginning on March 1, 2024 and thereafter in 48 equal monthly installments, subject to Mr. Repass' continued service through the applicable vesting date and a liquidity event vesting condition. The liquidity event vesting condition was satisfied upon the merger described in Footnote 5.</w:t>
      </w:r>
    </w:p>
    <w:p>
      <w:pPr>
        <w:spacing w:after="0" w:line="15" w:lineRule="exact"/>
        <w:rPr>
          <w:rFonts w:ascii="Times New Roman" w:cs="Times New Roman" w:eastAsia="Times New Roman" w:hAnsi="Times New Roman"/>
          <w:sz w:val="13"/>
          <w:szCs w:val="13"/>
          <w:color w:val="008000"/>
        </w:rPr>
      </w:pPr>
    </w:p>
    <w:p>
      <w:pPr>
        <w:ind w:left="40" w:right="20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received as part of the Issuer's business combination, in connection with that certain Agreement and Plan of Merger, dated as of July 24, 2024 (the "Merger Agreement"), by and among the Issuer (formerly FTAC Emerald Acquisition Corp.), FTAC EMLD Merger Sub Inc. and Fold, Inc. ("Legacy Fold"), pursuant to which each outstanding Legacy Fold RSU Award was automatically converted into an award of restricted stock units covering a number of shares of the Issuer's Common Stock based on the exchange ratio described in the Issuer's Registration Statement on Form S-4, as amended (Reg. No. 333-282520).</w:t>
      </w:r>
    </w:p>
    <w:p>
      <w:pPr>
        <w:spacing w:after="0" w:line="28"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as to one-fourth of the underlying shares beginning on September 1, 2024 and thereafter in 48 equal monthly installments, subject to Mr. Repass' continued service through the applicable vesting date and a liquidity event vesting condition. The liquidity event vesting condition was deemed met upon the Merger.</w:t>
      </w:r>
    </w:p>
    <w:p>
      <w:pPr>
        <w:spacing w:after="0" w:line="1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as to one-fourth of the underlying shares beginning on June 1, 2025 and thereafter in 48 equal monthly installments, subject to Mr. Repass' continued service through the applicable vesting date and a liquidity event vesting condition.The liquidity event vesting condition was deemed met upon the Merger.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6" w:right="359" w:bottom="0" w:gutter="0" w:footer="0" w:header="0"/>
          <w:type w:val="continuous"/>
        </w:sectPr>
      </w:pP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Exhibit 24 - Power of Attorney (incorporated by reference to the Power of Attorney filed as Exhibit 24 to the Form 4 filed by Mr. Repass on February 20, 2026).</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Audrey Bartosh, Attorney-</w:t>
            </w:r>
          </w:p>
        </w:tc>
        <w:tc>
          <w:tcPr>
            <w:tcW w:w="1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06/03/2026</w:t>
            </w:r>
          </w:p>
        </w:tc>
      </w:tr>
      <w:tr>
        <w:trPr>
          <w:trHeight w:val="188"/>
        </w:trPr>
        <w:tc>
          <w:tcPr>
            <w:tcW w:w="480" w:type="dxa"/>
            <w:vAlign w:val="bottom"/>
            <w:tcBorders>
              <w:bottom w:val="single" w:sz="8" w:color="auto"/>
            </w:tcBorders>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tcPr>
          <w:p>
            <w:pPr>
              <w:spacing w:after="0"/>
              <w:rPr>
                <w:sz w:val="16"/>
                <w:szCs w:val="16"/>
                <w:color w:val="auto"/>
              </w:rPr>
            </w:pPr>
          </w:p>
        </w:tc>
        <w:tc>
          <w:tcPr>
            <w:tcW w:w="760" w:type="dxa"/>
            <w:vAlign w:val="bottom"/>
          </w:tcPr>
          <w:p>
            <w:pPr>
              <w:spacing w:after="0"/>
              <w:rPr>
                <w:sz w:val="16"/>
                <w:szCs w:val="16"/>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7456" TargetMode="External"/><Relationship Id="rId14" Type="http://schemas.openxmlformats.org/officeDocument/2006/relationships/hyperlink" Target="http://www.sec.gov/cgi-bin/browse-edgar?action=getcompany&amp;CIK=00018891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2026-06-03T20:31:33Z</dcterms:created>
  <dcterms:modified xsi:type="dcterms:W3CDTF">2026-06-03T20:31:33Z</dcterms:modified>
</cp:coreProperties>
</file>