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Reeves William Brian Poppic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5,433,160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11,549</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5,444,709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0.457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5,439,421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0.457</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5,438,928</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11,549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34,645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Mr. Reeves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Reeves.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as to one-fourth of the underlying shares beginning on October 1, 2023 and thereafter in 48 equal monthly installments, subject to Mr. Reeves' continued service through the applicable vesting date and a liquidity event vesting condition. The liquidity event vesting condition was deemed met upon the merger of Legacy Fold, Issuer and FTAC EMLD Merger Sub Inc. on February 14, 2025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as to one-fourth of the underlying shares beginning on December 1, 2023 and thereafter in 48 equal monthly installments, subject to Mr. Reeves' continued service through the applicable vesting date and a liquidity event vesting condition. The liquidity event vesting condition was deemed met upon the Merger.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Exhibit 24 to the Reporting Person's Form 4 filed on February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455"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948</Words>
  <Characters>5083</Characters>
  <CharactersWithSpaces>5909</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